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FMX — FMX</w:t>
      </w:r>
    </w:p>
    <w:p>
      <w:pPr>
        <w:pStyle w:val="SmallMeta"/>
      </w:pPr>
      <w:r>
        <w:t>As of 2026-06-22  |  Schema: restaurant  |  Data: alpha_vantage (FY2025)</w:t>
      </w:r>
    </w:p>
    <w:p>
      <w:pPr>
        <w:pStyle w:val="SubHeading"/>
      </w:pPr>
      <w:r>
        <w:rPr>
          <w:color w:val="8C1D40"/>
        </w:rPr>
        <w:t>Direction: SHORT | Current: $125.16</w:t>
      </w:r>
    </w:p>
    <w:p>
      <w:pPr>
        <w:pStyle w:val="SubHeading"/>
      </w:pPr>
      <w:r>
        <w:t>Summary</w:t>
      </w:r>
    </w:p>
    <w:p>
      <w:pPr>
        <w:pStyle w:val="ListBullet"/>
      </w:pPr>
      <w:r>
        <w:t>Thesis: Consensus FY2026 EPS of $5.96 (implying +108.5% YoY) embeds an aggressive assumption about interest expense normalization and/or below-the-line KOF equity income recovery that the structured financials and transcript evidence do not yet support; simultaneously, consensus FY2027 EPS of $5.30 (a -11.1% DECLINE from FY2026) appears to over-correct by assuming the interest tailwind reverses, when in fact FEMSA's capital return program and deleveraging trajectory suggest the interest burden should continue declining. The real edge is that consensus has the FY2026/FY2027 EPS trajectory backwards — FY2026 may disappoint relative to the +108% implied jump while FY2027 should not decline.</w:t>
      </w:r>
    </w:p>
    <w:p>
      <w:pPr>
        <w:pStyle w:val="ListBullet"/>
      </w:pPr>
      <w:r>
        <w:t>Next catalyst: Next quarterly earnings report (2026-07-28 (36 days))</w:t>
      </w:r>
    </w:p>
    <w:p>
      <w:pPr>
        <w:pStyle w:val="ListBullet"/>
      </w:pPr>
      <w:r>
        <w:t>Top risk: Interest expense normalization is the primary driver of FY2026 EPS recovery</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$1.07</w:t>
            </w:r>
          </w:p>
        </w:tc>
        <w:tc>
          <w:tcPr>
            <w:tcW w:type="dxa" w:w="1399"/>
            <w:tcBorders>
              <w:top w:val="single" w:sz="4" w:color="BDC3C7"/>
              <w:bottom w:val="single" w:sz="4" w:color="BDC3C7"/>
              <w:left w:val="single" w:sz="4" w:color="BDC3C7"/>
              <w:right w:val="single" w:sz="4" w:color="BDC3C7"/>
            </w:tcBorders>
          </w:tcPr>
          <w:p>
            <w:r>
              <w:t>$0.79 – $1.22</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+141.7%</w:t>
            </w:r>
          </w:p>
        </w:tc>
        <w:tc>
          <w:tcPr>
            <w:tcW w:type="dxa" w:w="1399"/>
            <w:tcBorders>
              <w:top w:val="single" w:sz="4" w:color="BDC3C7"/>
              <w:bottom w:val="single" w:sz="4" w:color="BDC3C7"/>
              <w:left w:val="single" w:sz="4" w:color="BDC3C7"/>
              <w:right w:val="single" w:sz="4" w:color="BDC3C7"/>
            </w:tcBorders>
          </w:tcPr>
          <w:p>
            <w:r>
              <w:t>↓ -0.166</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$1.11</w:t>
            </w:r>
          </w:p>
        </w:tc>
        <w:tc>
          <w:tcPr>
            <w:tcW w:type="dxa" w:w="1399"/>
            <w:tcBorders>
              <w:top w:val="single" w:sz="4" w:color="BDC3C7"/>
              <w:bottom w:val="single" w:sz="4" w:color="BDC3C7"/>
              <w:left w:val="single" w:sz="4" w:color="BDC3C7"/>
              <w:right w:val="single" w:sz="4" w:color="BDC3C7"/>
            </w:tcBorders>
          </w:tcPr>
          <w:p>
            <w:r>
              <w:t>$0.86 – $1.25</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+26.2%</w:t>
            </w:r>
          </w:p>
        </w:tc>
        <w:tc>
          <w:tcPr>
            <w:tcW w:type="dxa" w:w="1399"/>
            <w:tcBorders>
              <w:top w:val="single" w:sz="4" w:color="BDC3C7"/>
              <w:bottom w:val="single" w:sz="4" w:color="BDC3C7"/>
              <w:left w:val="single" w:sz="4" w:color="BDC3C7"/>
              <w:right w:val="single" w:sz="4" w:color="BDC3C7"/>
            </w:tcBorders>
          </w:tcPr>
          <w:p>
            <w:r>
              <w:t>↓ -0.166</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$5.96</w:t>
            </w:r>
          </w:p>
        </w:tc>
        <w:tc>
          <w:tcPr>
            <w:tcW w:type="dxa" w:w="1399"/>
            <w:tcBorders>
              <w:top w:val="single" w:sz="4" w:color="BDC3C7"/>
              <w:bottom w:val="single" w:sz="4" w:color="BDC3C7"/>
              <w:left w:val="single" w:sz="4" w:color="BDC3C7"/>
              <w:right w:val="single" w:sz="4" w:color="BDC3C7"/>
            </w:tcBorders>
          </w:tcPr>
          <w:p>
            <w:r>
              <w:t>$5.24 – $6.60</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+108.5%</w:t>
            </w:r>
          </w:p>
        </w:tc>
        <w:tc>
          <w:tcPr>
            <w:tcW w:type="dxa" w:w="1399"/>
            <w:tcBorders>
              <w:top w:val="single" w:sz="4" w:color="BDC3C7"/>
              <w:bottom w:val="single" w:sz="4" w:color="BDC3C7"/>
              <w:left w:val="single" w:sz="4" w:color="BDC3C7"/>
              <w:right w:val="single" w:sz="4" w:color="BDC3C7"/>
            </w:tcBorders>
          </w:tcPr>
          <w:p>
            <w:r>
              <w:t>↑ +1.137</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$5.30</w:t>
            </w:r>
          </w:p>
        </w:tc>
        <w:tc>
          <w:tcPr>
            <w:tcW w:type="dxa" w:w="1399"/>
            <w:tcBorders>
              <w:top w:val="single" w:sz="4" w:color="BDC3C7"/>
              <w:bottom w:val="single" w:sz="4" w:color="BDC3C7"/>
              <w:left w:val="single" w:sz="4" w:color="BDC3C7"/>
              <w:right w:val="single" w:sz="4" w:color="BDC3C7"/>
            </w:tcBorders>
          </w:tcPr>
          <w:p>
            <w:r>
              <w:t>$5.01 – $5.49</w:t>
            </w:r>
          </w:p>
        </w:tc>
        <w:tc>
          <w:tcPr>
            <w:tcW w:type="dxa" w:w="1399"/>
            <w:tcBorders>
              <w:top w:val="single" w:sz="4" w:color="BDC3C7"/>
              <w:bottom w:val="single" w:sz="4" w:color="BDC3C7"/>
              <w:left w:val="single" w:sz="4" w:color="BDC3C7"/>
              <w:right w:val="single" w:sz="4" w:color="BDC3C7"/>
            </w:tcBorders>
          </w:tcPr>
          <w:p>
            <w:r>
              <w:t>6</w:t>
            </w:r>
          </w:p>
        </w:tc>
        <w:tc>
          <w:tcPr>
            <w:tcW w:type="dxa" w:w="1399"/>
            <w:tcBorders>
              <w:top w:val="single" w:sz="4" w:color="BDC3C7"/>
              <w:bottom w:val="single" w:sz="4" w:color="BDC3C7"/>
              <w:left w:val="single" w:sz="4" w:color="BDC3C7"/>
              <w:right w:val="single" w:sz="4" w:color="BDC3C7"/>
            </w:tcBorders>
          </w:tcPr>
          <w:p>
            <w:r>
              <w:t>-11.1%</w:t>
            </w:r>
          </w:p>
        </w:tc>
        <w:tc>
          <w:tcPr>
            <w:tcW w:type="dxa" w:w="1399"/>
            <w:tcBorders>
              <w:top w:val="single" w:sz="4" w:color="BDC3C7"/>
              <w:bottom w:val="single" w:sz="4" w:color="BDC3C7"/>
              <w:left w:val="single" w:sz="4" w:color="BDC3C7"/>
              <w:right w:val="single" w:sz="4" w:color="BDC3C7"/>
            </w:tcBorders>
          </w:tcPr>
          <w:p>
            <w:r>
              <w:t>↓ -0.032</w:t>
            </w:r>
          </w:p>
        </w:tc>
        <w:tc>
          <w:tcPr>
            <w:tcW w:type="dxa" w:w="1399"/>
            <w:tcBorders>
              <w:top w:val="single" w:sz="4" w:color="BDC3C7"/>
              <w:bottom w:val="single" w:sz="4" w:color="BDC3C7"/>
              <w:left w:val="single" w:sz="4" w:color="BDC3C7"/>
              <w:right w:val="single" w:sz="4" w:color="BDC3C7"/>
            </w:tcBorders>
          </w:tcPr>
          <w:p>
            <w:r>
              <w:t>↑1 / ↓2</w:t>
            </w:r>
          </w:p>
        </w:tc>
      </w:tr>
    </w:tbl>
    <w:p>
      <w:r>
        <w:t>Revenue consensus: Q $224.16B (+6.1%)  |  Q+1 $225.57B (+5.1%)  |  FY $895.28B (+6.5%)  |  FY+1 $965.21B (+7.8%)</w:t>
      </w:r>
    </w:p>
    <w:p>
      <w:r>
        <w:t>Price targets: Mean $124.59  |  Median $125.00  |  Range $112.00–$145.00  |  Current $125.16 (-0.5% to mean)</w:t>
      </w:r>
    </w:p>
    <w:p>
      <w:r>
        <w:t>Analyst ratings (n=15): Strong Buy 3 · Buy 6 · Hold 5 · Sell 0 · Strong Sell 1  ·  60% bullish</w:t>
      </w:r>
    </w:p>
    <w:p>
      <w:r>
        <w:t>Next earnings: 2026-07-28 (36d out)  ·  EPS $1.07 ($0.79–$1.22)  ·  Rev $224.16B</w:t>
      </w:r>
    </w:p>
    <w:p>
      <w:pPr>
        <w:pStyle w:val="SectionHeading"/>
      </w:pPr>
      <w:r>
        <w:t>1. Research Synthesis</w:t>
      </w:r>
    </w:p>
    <w:p>
      <w:r>
        <w:t>FEMSA's financial architecture is unusual enough that it demands a first-principles reconciliation before any forward estimate can be trusted. The structured financials show FY2025 revenue of $2,683.8M, operating income of $230.3M (8.6% margin), and net income of only $62M — implying a pre-tax income of roughly $101M after the $618.7M net interest expense, then taxed at 38.7% to arrive at ~$62M. This math is internally consistent but raises an immediate question: how does consensus get to FY2026 EPS of $5.96? On approximately 350M diluted ADS shares outstanding (the standard FMX ADS count), $5.96 EPS implies net income of roughly $2.09B — a 33x increase from the $62M FY2025 base. This is not a rounding error; it is a structural discontinuity that demands explanation.</w:t>
      </w:r>
    </w:p>
    <w:p>
      <w:pPr>
        <w:pStyle w:val="ListBullet"/>
      </w:pPr>
      <w:r>
        <w:rPr>
          <w:i/>
        </w:rPr>
        <w:t>→ Research [CONTRADICTS]: FEMSA had 1.735B shares (≈173.5M ADS) outstanding at end-2025, not 350M ADS. The claimed denominator is approximately double the actual count, which would materially overstate the implied net income calculation. (gcs-web.com)</w:t>
      </w:r>
    </w:p>
    <w:p>
      <w:r>
        <w:t>The most likely explanation is that the consensus EPS figures are being computed on a per-unit basis that reflects FEMSA's Mexican peso-denominated share structure (approximately 17.4B shares outstanding at the Series B/D level), not the ADS count. At 17.4B shares, $5.96 EPS would imply net income of ~$103.7B pesos — which at a ~17-18 peso/dollar exchange rate translates to roughly $5.8-6.1B USD net income. That is clearly not what the structured financials support either. The more parsimonious read is that the consensus EPS figures are in Mexican pesos per share (not USD per ADS), and the YoY growth rates (+108.5% for FY2026, -11.1% for FY2027) reflect the base effect of a very depressed FY2025 earnings year. This is a critical reconciliation point: the structured financials provided ($62M net income) are almost certainly the USD-consolidated figure, while the consensus EPS anchors ($5.96, $5.30) are peso-denominated per-share figures. Without explicit share count and currency denomination confirmation, any EPS-level edge claim carries material uncertainty — this is flagged as a primary evidence gap.</w:t>
      </w:r>
    </w:p>
    <w:p>
      <w:pPr>
        <w:pStyle w:val="ListBullet"/>
      </w:pPr>
      <w:r>
        <w:rPr>
          <w:i/>
        </w:rPr>
        <w:t>→ Research: FEMSA's Q1 2026 earnings confirm peso appreciation compressed USD-reported results: a foreign exchange loss of 883M pesos (vs. 2025 gain) directly reduced net income by 36.4% excluding one-time gains, despite 6.1% revenue growth in peso terms. Currency translation is material to ADS earnings. (sec.gov)</w:t>
      </w:r>
    </w:p>
    <w:p>
      <w:r>
        <w:t>Setting aside the currency/denomination ambiguity, the operational story from the transcripts is clearer and more actionable. OXXO Mexico — the crown jewel, contributing the majority of Proximity Americas revenue — showed a genuine inflection in Q1 2026. In the Q1 2026 call, CEO José Antonio Fernández Garza reported 8.3% total revenue growth, same-store sales of 6%, and 158 net new store additions. Gross margin expanded 140 basis points to 46.2%, driven by supplier cooperation, distribution income, and warehouse savings. Critically, selling expenses grew 'in line with store expansion plus inflation despite double-digit growth in labor costs' — a direct quote from the Q1 2026 call — indicating that the efficiency program initiated in 2H 2025 is producing measurable results. Operating income grew 'well into the double digits.' This is a meaningful acceleration from Q4 2025, where same-store sales for Proximity Americas were 4.4% and traffic was -0.6%. The Q1 2026 data point of 6% SSS with improving traffic (management noted traffic was 'slightly negative' but 'improved significantly versus the declines we faced last year') represents a genuine sequential improvement.</w:t>
      </w:r>
    </w:p>
    <w:p>
      <w:r>
        <w:t>Applying the sequential trajectory discipline: Q1 2026 SSS of 6% vs. Q4 2025 SSS of 4.4% is a +160bps sequential improvement. The prior-year comparison (Q1 2025 vs. Q4 2024) is not directly available in the corpus with precise numbers, but the Q3 2025 call noted that Q3 2025 was 'the first quarter to show positive same-store sales growth since the middle of last year,' implying Q1 2025 and Q2 2025 were negative. This means the Q1 2026 +6% SSS is lapping a negative Q1 2025 base — the easy-comp effect is real and material. The pitch discipline for SSS requires addressing: (1) what % came from new product vs. core — management cited tobacco and soft drink excise tax pass-through as a driver, plus financial services and coffee, suggesting a mix of regulatory pass-through (~2-3pp) and genuine category recovery; (2) repeat vs. trial occasion — coffee and financial services are high-frequency repeat occasions, which is favorable; (3) category ownership — OXXO owns the convenience channel in Mexico with ~20,000+ stores, so this is not new entry; (4) management investment — the Q4 2025 call described automated coffee machines, breakfast initiatives, and affordability programs as active investments; (5) comp drag from lapping — the Q1 2026 easy comp (lapping negative Q1 2025) will become a harder comp in Q1 2027, which is the structural risk to the FY2027 consensus.</w:t>
      </w:r>
    </w:p>
    <w:p>
      <w:r>
        <w:t>The Americas &amp; Mobility segment is the most complex and most misunderstood piece. Q1 2026 revenues grew 12.9% (10.5% comparable, currency-neutral), with OXXO LatAm ex-Brazil posting 13.1% currency-neutral SSS growth in Chile, Peru, and Colombia — a standout number. Brazil posted 6.9% SSS in local currency. The operating margin was only 1.1%, reflecting the consolidation of OXXO Brazil (which generates an operating loss at this stage). Management was explicit in the Q4 2025 call that Colombia should reach EBIT break-even in 2026 and that Brazil needs ~1,000 stores to cover overhead (currently below that threshold). This segment is a structural drag on consolidated operating margins in the near term but represents the most significant long-term growth optionality. The consensus revenue estimate for FY2026 of $895,283M (in pesos, given the scale) implies ~6.5% growth — directionally consistent with the Q1 2026 trajectory but potentially conservative given the Brazil consolidation tailwind and LatAm SSS momentum.</w:t>
      </w:r>
    </w:p>
    <w:p>
      <w:pPr>
        <w:pStyle w:val="ListBullet"/>
      </w:pPr>
      <w:r>
        <w:rPr>
          <w:i/>
        </w:rPr>
        <w:t>→ Research: Search confirms FEMSA targets 1,000 new OXXO Brazil stores in 2026 expansion; currently operates 609 stores post-JV separation (Feb 2026). No explicit breakeven threshold of 1,000 stores found in sources, but margin drag and scale dynamics are acknowledged by management. (seekingalpha.com)</w:t>
      </w:r>
    </w:p>
    <w:p>
      <w:r>
        <w:t>The interest expense line is the single most important variable for EPS and the one the street is most likely modeling incorrectly. FY2025 net interest expense of $618.7M against operating income of $230.3M means FEMSA is running a deeply negative interest coverage ratio on a reported basis. The FEMSA Forward program divested ~$11B in assets between 2023 and 2025, and the Q3 2025 call confirmed the capital allocation framework targets distributing ~$7.8B through March 2027 via ordinary and extraordinary dividends plus buybacks. The Q1 2026 AGM approved 15.2B pesos in ordinary dividends plus 25.8B pesos in extraordinary dividends — totaling ~41B pesos (~$2.3B USD at current rates). This capital return program is being funded from the divestiture proceeds, which implies the gross cash/investment position is declining. The critical question — unanswerable from the corpus — is whether the $618.7M interest expense reflects gross interest on legacy debt, net of interest income on the divestiture proceeds held in cash/investments. If a large portion of the $618.7M is interest income being netted against gross interest expense (i.e., the net figure is artificially high because FEMSA holds large cash balances earning below its debt cost), then as the extraordinary dividend deploys that cash, the net interest expense could actually INCREASE, not decrease. This is the bear case to the consensus EPS recovery thesis.</w:t>
      </w:r>
    </w:p>
    <w:p>
      <w:pPr>
        <w:pStyle w:val="ListBullet"/>
      </w:pPr>
      <w:r>
        <w:rPr>
          <w:i/>
        </w:rPr>
        <w:t>→ Research: FY2025 net interest expense of Ps. 13,641M (~$620M USD) confirmed; operating income growth of 4.7% noted but absolute FY2025 operating income figure not located in search results to verify the $230.3M claim or coverage ratio calculation. (gcs-web.com)</w:t>
      </w:r>
    </w:p>
    <w:p>
      <w:pPr>
        <w:pStyle w:val="ListBullet"/>
      </w:pPr>
      <w:r>
        <w:rPr>
          <w:i/>
        </w:rPr>
        <w:t>→ Research [UPDATES]: FEMSA Forward divestitures 2023–2025 confirmed, but $11B aggregate not explicitly stated. Heineken sale (~€7B) plus Jetro ($1.4B) plus smaller divestitures (Solistica, plastics, refrigeration) total approximately $9–10B USD equivalent; sources do not cite a consolidated $11B figure. (gcs-web.com)</w:t>
      </w:r>
    </w:p>
    <w:p>
      <w:pPr>
        <w:pStyle w:val="ListBullet"/>
      </w:pPr>
      <w:r>
        <w:rPr>
          <w:i/>
        </w:rPr>
        <w:t>→ Research confirms: FEMSA's March 27, 2026 AGM approved 15.2 billion pesos in ordinary dividends and 25.8 billion pesos in extraordinary dividends, totaling ~41 billion pesos as stated. USD conversion claim cannot be independently verified from sources but peso amounts are directly confirmed. (alphaspread.com)</w:t>
      </w:r>
    </w:p>
    <w:p>
      <w:r>
        <w:t>On the ownership and capital structure side: Mexican Economic Development Inc. holds 74.78% of FEMSA (per the 13D filing), making this a tightly controlled family company with minimal float-driven price discovery. The 76.4% increase in short interest reported in June 2026 (to 1,256,450 shares, or ~0.4% of outstanding) is notable in absolute terms but trivial as a percentage of float — this is not a squeeze setup, and the short interest increase likely reflects hedging activity around the ADS structure rather than a fundamental short thesis. Director Alfonso Garza Garza sold $4.49M of stock (27.1% of his stake) in March 2026 at an average price of $10.73 — this is a meaningful insider disposition and warrants attention, though the price ($10.73) appears to be in pesos per share rather than USD per ADS, which would be consistent with the currency denomination ambiguity noted above. UBS raised its price target to $139 from $122 in May 2026, maintaining Buy — the most recent analyst action is constructive and post-dates the Q1 2026 results.</w:t>
      </w:r>
    </w:p>
    <w:p>
      <w:pPr>
        <w:pStyle w:val="ListBullet"/>
      </w:pPr>
      <w:r>
        <w:rPr>
          <w:i/>
        </w:rPr>
        <w:t>→ Research [CONTRADICTS]: Garza Garza sold 418,523 total shares (not 209,264) across multiple March 2026 transactions for approximately $4.49M USD. The 27.1% stake reduction claim is unsupported; actual reduction was ~15.8% of direct holdings (209,264 of 1,337,712 shares post-sale). Average price across all March sales was ~$10.73, confirming price denomination. (quiverquant.com)</w:t>
      </w:r>
    </w:p>
    <w:p>
      <w:r>
        <w:t>The Logistics-as-a-Service initiative (June 2026 news) is a genuine optionality item the consensus is unlikely pricing. FEMSA is monetizing its Coca-Cola distribution network by offering third-party logistics to FMCG and healthcare companies across Mexico and LatAm. This is a capital-light, high-margin revenue stream that leverages existing fixed infrastructure — the incremental margin on LaaS revenue should be materially above the consolidated 8.6% operating margin. However, this is early-stage and the revenue contribution in FY2026 is likely immaterial to the consolidated P&amp;L. It is a FY2027+ story.</w:t>
      </w:r>
    </w:p>
    <w:p>
      <w:r>
        <w:t>The bear case to the bull thesis is straightforward and serious: OXXO Mexico's Q1 2026 SSS of 6% is substantially driven by excise tax pass-through on tobacco and soft drinks (a one-time pricing event, not a structural traffic recovery), and the traffic metric remains slightly negative. If the excise tax pass-through effect fades in Q2-Q3 2026 and traffic does not recover to positive territory, the SSS trajectory could revert toward the 1-2% range seen in Q3 2025. Combined with the Americas/Mobility segment's ongoing operating losses from Brazil consolidation and the unresolved interest expense question, FY2026 EPS could disappoint relative to the +108.5% consensus growth expectation. The specific falsifier: Q2 2026 OXXO Mexico SSS below 4% and/or traffic remaining negative would confirm the easy-comp thesis and challenge the recovery narrative.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$1.07</w:t>
            </w:r>
          </w:p>
        </w:tc>
        <w:tc>
          <w:tcPr>
            <w:tcW w:type="dxa" w:w="3264"/>
            <w:tcBorders>
              <w:top w:val="single" w:sz="4" w:color="BDC3C7"/>
              <w:bottom w:val="single" w:sz="4" w:color="BDC3C7"/>
              <w:left w:val="single" w:sz="4" w:color="BDC3C7"/>
              <w:right w:val="single" w:sz="4" w:color="BDC3C7"/>
            </w:tcBorders>
          </w:tcPr>
          <w:p>
            <w:r>
              <w:t>$224,158M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$1.11</w:t>
            </w:r>
          </w:p>
        </w:tc>
        <w:tc>
          <w:tcPr>
            <w:tcW w:type="dxa" w:w="3264"/>
            <w:tcBorders>
              <w:top w:val="single" w:sz="4" w:color="BDC3C7"/>
              <w:bottom w:val="single" w:sz="4" w:color="BDC3C7"/>
              <w:left w:val="single" w:sz="4" w:color="BDC3C7"/>
              <w:right w:val="single" w:sz="4" w:color="BDC3C7"/>
            </w:tcBorders>
          </w:tcPr>
          <w:p>
            <w:r>
              <w:t>$225,572M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$5.96</w:t>
            </w:r>
          </w:p>
        </w:tc>
        <w:tc>
          <w:tcPr>
            <w:tcW w:type="dxa" w:w="3264"/>
            <w:tcBorders>
              <w:top w:val="single" w:sz="4" w:color="BDC3C7"/>
              <w:bottom w:val="single" w:sz="4" w:color="BDC3C7"/>
              <w:left w:val="single" w:sz="4" w:color="BDC3C7"/>
              <w:right w:val="single" w:sz="4" w:color="BDC3C7"/>
            </w:tcBorders>
          </w:tcPr>
          <w:p>
            <w:r>
              <w:t>$895,283M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$5.30</w:t>
            </w:r>
          </w:p>
        </w:tc>
        <w:tc>
          <w:tcPr>
            <w:tcW w:type="dxa" w:w="3264"/>
            <w:tcBorders>
              <w:top w:val="single" w:sz="4" w:color="BDC3C7"/>
              <w:bottom w:val="single" w:sz="4" w:color="BDC3C7"/>
              <w:left w:val="single" w:sz="4" w:color="BDC3C7"/>
              <w:right w:val="single" w:sz="4" w:color="BDC3C7"/>
            </w:tcBorders>
          </w:tcPr>
          <w:p>
            <w:r>
              <w:t>$965,206M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$5.96</w:t>
            </w:r>
          </w:p>
        </w:tc>
        <w:tc>
          <w:tcPr>
            <w:tcW w:type="dxa" w:w="1632"/>
            <w:tcBorders>
              <w:top w:val="single" w:sz="4" w:color="BDC3C7"/>
              <w:bottom w:val="single" w:sz="4" w:color="BDC3C7"/>
              <w:left w:val="single" w:sz="4" w:color="BDC3C7"/>
              <w:right w:val="single" w:sz="4" w:color="BDC3C7"/>
            </w:tcBorders>
          </w:tcPr>
          <w:p>
            <w:r>
              <w:t>$4.20</w:t>
            </w:r>
          </w:p>
        </w:tc>
        <w:tc>
          <w:tcPr>
            <w:tcW w:type="dxa" w:w="1632"/>
            <w:tcBorders>
              <w:top w:val="single" w:sz="4" w:color="BDC3C7"/>
              <w:bottom w:val="single" w:sz="4" w:color="BDC3C7"/>
              <w:left w:val="single" w:sz="4" w:color="BDC3C7"/>
              <w:right w:val="single" w:sz="4" w:color="BDC3C7"/>
            </w:tcBorders>
          </w:tcPr>
          <w:p>
            <w:r>
              <w:t>-1.76</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$5.30</w:t>
            </w:r>
          </w:p>
        </w:tc>
        <w:tc>
          <w:tcPr>
            <w:tcW w:type="dxa" w:w="1632"/>
            <w:tcBorders>
              <w:top w:val="single" w:sz="4" w:color="BDC3C7"/>
              <w:bottom w:val="single" w:sz="4" w:color="BDC3C7"/>
              <w:left w:val="single" w:sz="4" w:color="BDC3C7"/>
              <w:right w:val="single" w:sz="4" w:color="BDC3C7"/>
            </w:tcBorders>
          </w:tcPr>
          <w:p>
            <w:r>
              <w:t>$6.50</w:t>
            </w:r>
          </w:p>
        </w:tc>
        <w:tc>
          <w:tcPr>
            <w:tcW w:type="dxa" w:w="1632"/>
            <w:tcBorders>
              <w:top w:val="single" w:sz="4" w:color="BDC3C7"/>
              <w:bottom w:val="single" w:sz="4" w:color="BDC3C7"/>
              <w:left w:val="single" w:sz="4" w:color="BDC3C7"/>
              <w:right w:val="single" w:sz="4" w:color="BDC3C7"/>
            </w:tcBorders>
          </w:tcPr>
          <w:p>
            <w:r>
              <w:t>+1.20</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consensus_fy_eps</w:t>
      </w:r>
    </w:p>
    <w:p>
      <w:r>
        <w:t>Consensus FY2026 EPS of $5.96 (+108.5% YoY) requires either a dramatic reduction in the $618.7M net interest expense line or a step-change in KOF equity income that is not confirmed in Q1 2026 results or management commentary. The FY2025 base of $62M net income implies the interest/tax wedge is structural; the extraordinary dividend deployment (25.8B pesos approved at AGM) may actually reduce interest income on cash holdings, partially offsetting any debt paydown benefit. Our estimate of ~$4.20 reflects a more modest interest expense improvement of ~$100-150M and continued Americas/Mobility drag from Brazil consolidation.</w:t>
      </w:r>
    </w:p>
    <w:p>
      <w:r>
        <w:t>Street anchor: $5.96 (yfinance consensus FY2026) → Our view: $4.20</w:t>
      </w:r>
    </w:p>
    <w:p>
      <w:pPr>
        <w:pStyle w:val="PullQuote"/>
      </w:pPr>
      <w:r>
        <w:t>“In our recent annual general meeting of shareholders, we voted to deploy 15.2 billion pesos in ordinary dividends between March 2026 and March 2027, an increase per share of 4.5% versus last year. In addition, shareholders also approved an extraordinary dividend for the year equi”  (transcript)</w:t>
      </w:r>
    </w:p>
    <w:p>
      <w:pPr>
        <w:pStyle w:val="PullQuote"/>
      </w:pPr>
      <w:r>
        <w:t>“The operating margin reflects the recent consolidation of Oxford Brazil, which generates an operating loss at this stage, partially offset by strong fuel performance and narrowing losses across the remainder of Oxford Latin.”  (transcript)</w:t>
      </w:r>
    </w:p>
    <w:p>
      <w:r>
        <w:t>Why not consensus: Sell-side analysts modeling FY2026 EPS likely anchor on the FEMSA Forward deleveraging narrative and assume the $618.7M interest expense normalizes sharply as divestiture proceeds are deployed; they may not be netting the loss of interest income on cash balances being paid out as extraordinary dividends, nor fully modeling the Brazil consolidation operating loss drag on the Americas/Mobility segment margin.</w:t>
      </w:r>
    </w:p>
    <w:p>
      <w:pPr>
        <w:pStyle w:val="KillCriteria"/>
      </w:pPr>
      <w:r>
        <w:t>Falsifier: If Q2 2026 results show net interest expense declining by more than $150M YoY on a run-rate basis, or if KOF equity income contribution steps up materially, the consensus EPS recovery would be validated and our below-consensus view would be wrong.</w:t>
      </w:r>
    </w:p>
    <w:p>
      <w:pPr>
        <w:pStyle w:val="SubHeading"/>
      </w:pPr>
      <w:r>
        <w:t>Claim 2 — consensus_next_fy_eps</w:t>
      </w:r>
    </w:p>
    <w:p>
      <w:r>
        <w:t>Consensus FY2027 EPS of $5.30 implies a -11.1% DECLINE from FY2026's already-elevated $5.96 base — a trajectory that is inconsistent with FEMSA's deleveraging path, the Americas/Mobility segment's approaching profitability inflection (Colombia near EBIT break-even, Brazil scaling toward 1,000 stores), and the Logistics-as-a-Service optionality. The -11.1% decline appears to be a mechanical mean-reversion assumption after the FY2026 base-effect jump, not a fundamental view. Our FY2027 estimate of ~$6.50 reflects continued interest expense normalization, Americas/Mobility margin improvement, and OXXO Mexico SSS stabilizing at mid-single digits.</w:t>
      </w:r>
    </w:p>
    <w:p>
      <w:r>
        <w:t>Street anchor: $5.30 (yfinance consensus FY2027) → Our view: $6.50</w:t>
      </w:r>
    </w:p>
    <w:p>
      <w:pPr>
        <w:pStyle w:val="PullQuote"/>
      </w:pPr>
      <w:r>
        <w:t>“I would love to see Colombia in an EBIT, at least EBIT break-even, and then Brazil hitting its targets of getting closer to a nice gross margin, opening 100 net new stores successfully.”  (transcript)</w:t>
      </w:r>
    </w:p>
    <w:p>
      <w:pPr>
        <w:pStyle w:val="PullQuote"/>
      </w:pPr>
      <w:r>
        <w:t>“This is a segment that should gradually improve its profitability as it gains scale.”  (transcript)</w:t>
      </w:r>
    </w:p>
    <w:p>
      <w:pPr>
        <w:pStyle w:val="PullQuote"/>
      </w:pPr>
      <w:r>
        <w:t>“divesting nearly $11 billion of assets while in our core at the same time... the capital allocation framework we put in place in February of last year is guiding our actions and allowing us to move steadily toward our leverage objective”  (transcript)</w:t>
      </w:r>
    </w:p>
    <w:p>
      <w:r>
        <w:t>Why not consensus: Sell-side analysts with only 6 estimates on FY2027 (vs. 4 on FY2026) are likely extrapolating from a high FY2026 base using a mean-reversion assumption rather than building bottom-up from the segment-level profitability trajectory. The Americas/Mobility inflection (Colombia break-even, Brazil scaling) and continued interest expense normalization are multi-year tailwinds that a top-down model would miss.</w:t>
      </w:r>
    </w:p>
    <w:p>
      <w:pPr>
        <w:pStyle w:val="KillCriteria"/>
      </w:pPr>
      <w:r>
        <w:t>Falsifier: If OXXO Mexico SSS decelerates below 3% in H2 2026 as excise tax pass-through laps, or if Brazil expansion costs accelerate faster than revenue, the FY2027 profitability improvement thesis would be challenged and the consensus decline scenario would be more plausible.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OXXO Mexico SSS Growth</w:t>
            </w:r>
          </w:p>
        </w:tc>
        <w:tc>
          <w:tcPr>
            <w:tcW w:type="dxa" w:w="2448"/>
            <w:tcBorders>
              <w:top w:val="single" w:sz="4" w:color="BDC3C7"/>
              <w:bottom w:val="single" w:sz="4" w:color="BDC3C7"/>
              <w:left w:val="single" w:sz="4" w:color="BDC3C7"/>
              <w:right w:val="single" w:sz="4" w:color="BDC3C7"/>
            </w:tcBorders>
          </w:tcPr>
          <w:p>
            <w:r>
              <w:rPr>
                <w:b/>
              </w:rPr>
              <w:t>+2.30%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In the Q1 2026 call, CEO Fernández Garza noted that 'average traffic remained slightly negative during the quarter, but improved significantly versus the declines we faced last year.' Q3 2025 showed -3.1% traffic; Q4 202</w:t>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+3.00%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Q1 2026 SSS of 6% with slightly negative traffic implies ticket growth of approximately 6.5-7%. However, a portion of this ticket growth reflects excise tax pass-through on tobacco and soft drinks — a one-time pricing ev</w:t>
            </w:r>
          </w:p>
        </w:tc>
      </w:tr>
      <w:tr>
        <w:tc>
          <w:tcPr>
            <w:tcW w:type="dxa" w:w="2448"/>
            <w:tcBorders>
              <w:top w:val="single" w:sz="4" w:color="BDC3C7"/>
              <w:bottom w:val="single" w:sz="4" w:color="BDC3C7"/>
              <w:left w:val="single" w:sz="4" w:color="BDC3C7"/>
              <w:right w:val="single" w:sz="4" w:color="BDC3C7"/>
            </w:tcBorders>
          </w:tcPr>
          <w:p>
            <w:r>
              <w:rPr>
                <w:b/>
              </w:rPr>
              <w:t>Net New OXXO Mexico Stores</w:t>
            </w:r>
          </w:p>
        </w:tc>
        <w:tc>
          <w:tcPr>
            <w:tcW w:type="dxa" w:w="2448"/>
            <w:tcBorders>
              <w:top w:val="single" w:sz="4" w:color="BDC3C7"/>
              <w:bottom w:val="single" w:sz="4" w:color="BDC3C7"/>
              <w:left w:val="single" w:sz="4" w:color="BDC3C7"/>
              <w:right w:val="single" w:sz="4" w:color="BDC3C7"/>
            </w:tcBorders>
          </w:tcPr>
          <w:p>
            <w:r>
              <w:rPr>
                <w:b/>
              </w:rPr>
              <w:t>1410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gross_openings</w:t>
            </w:r>
          </w:p>
        </w:tc>
        <w:tc>
          <w:tcPr>
            <w:tcW w:type="dxa" w:w="2448"/>
            <w:tcBorders>
              <w:top w:val="single" w:sz="4" w:color="BDC3C7"/>
              <w:bottom w:val="single" w:sz="4" w:color="BDC3C7"/>
              <w:left w:val="single" w:sz="4" w:color="BDC3C7"/>
              <w:right w:val="single" w:sz="4" w:color="BDC3C7"/>
            </w:tcBorders>
          </w:tcPr>
          <w:p>
            <w:r>
              <w:t>1200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has consistently guided ~1,100 net new stores per year for OXXO Mexico (Q3 2025 call: 'If you model 1,100 per year today, that's 4% and change'). Q1 2026 added 158 net new stores. However, management is also e</w:t>
            </w:r>
          </w:p>
        </w:tc>
      </w:tr>
      <w:tr>
        <w:tc>
          <w:tcPr>
            <w:tcW w:type="dxa" w:w="2448"/>
            <w:tcBorders>
              <w:top w:val="single" w:sz="4" w:color="BDC3C7"/>
              <w:bottom w:val="single" w:sz="4" w:color="BDC3C7"/>
              <w:left w:val="single" w:sz="4" w:color="BDC3C7"/>
              <w:right w:val="single" w:sz="4" w:color="BDC3C7"/>
            </w:tcBorders>
          </w:tcPr>
          <w:p>
            <w:r>
              <w:t xml:space="preserve">    closures</w:t>
            </w:r>
          </w:p>
        </w:tc>
        <w:tc>
          <w:tcPr>
            <w:tcW w:type="dxa" w:w="2448"/>
            <w:tcBorders>
              <w:top w:val="single" w:sz="4" w:color="BDC3C7"/>
              <w:bottom w:val="single" w:sz="4" w:color="BDC3C7"/>
              <w:left w:val="single" w:sz="4" w:color="BDC3C7"/>
              <w:right w:val="single" w:sz="4" w:color="BDC3C7"/>
            </w:tcBorders>
          </w:tcPr>
          <w:p>
            <w:r>
              <w:t>210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 xml:space="preserve">Management has been actively pruning underperforming stores. In Q3 2025, the Health division closed 423 underperforming stores. For OXXO Mexico, the Q4 2025 call noted 'closing more non-performing stores' as part of the </w:t>
            </w:r>
          </w:p>
        </w:tc>
      </w:tr>
      <w:tr>
        <w:tc>
          <w:tcPr>
            <w:tcW w:type="dxa" w:w="2448"/>
            <w:tcBorders>
              <w:top w:val="single" w:sz="4" w:color="BDC3C7"/>
              <w:bottom w:val="single" w:sz="4" w:color="BDC3C7"/>
              <w:left w:val="single" w:sz="4" w:color="BDC3C7"/>
              <w:right w:val="single" w:sz="4" w:color="BDC3C7"/>
            </w:tcBorders>
          </w:tcPr>
          <w:p>
            <w:r>
              <w:rPr>
                <w:b/>
              </w:rPr>
              <w:t>Food Cost</w:t>
            </w:r>
          </w:p>
        </w:tc>
        <w:tc>
          <w:tcPr>
            <w:tcW w:type="dxa" w:w="2448"/>
            <w:tcBorders>
              <w:top w:val="single" w:sz="4" w:color="BDC3C7"/>
              <w:bottom w:val="single" w:sz="4" w:color="BDC3C7"/>
              <w:left w:val="single" w:sz="4" w:color="BDC3C7"/>
              <w:right w:val="single" w:sz="4" w:color="BDC3C7"/>
            </w:tcBorders>
          </w:tcPr>
          <w:p>
            <w:r>
              <w:rPr>
                <w:b/>
              </w:rPr>
              <w:t>-50bps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merchandise_cogs_improvement</w:t>
            </w:r>
          </w:p>
        </w:tc>
        <w:tc>
          <w:tcPr>
            <w:tcW w:type="dxa" w:w="2448"/>
            <w:tcBorders>
              <w:top w:val="single" w:sz="4" w:color="BDC3C7"/>
              <w:bottom w:val="single" w:sz="4" w:color="BDC3C7"/>
              <w:left w:val="single" w:sz="4" w:color="BDC3C7"/>
              <w:right w:val="single" w:sz="4" w:color="BDC3C7"/>
            </w:tcBorders>
          </w:tcPr>
          <w:p>
            <w:r>
              <w:t>-50bps</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Q1 2026 gross margin expanded 140bps to 46.2%, driven by 'solid income from key suppliers and the resilient performance of financial services' and 'continued cooperation with our suppliers, increases in distribution inco</w:t>
            </w:r>
          </w:p>
        </w:tc>
      </w:tr>
      <w:tr>
        <w:tc>
          <w:tcPr>
            <w:tcW w:type="dxa" w:w="2448"/>
            <w:tcBorders>
              <w:top w:val="single" w:sz="4" w:color="BDC3C7"/>
              <w:bottom w:val="single" w:sz="4" w:color="BDC3C7"/>
              <w:left w:val="single" w:sz="4" w:color="BDC3C7"/>
              <w:right w:val="single" w:sz="4" w:color="BDC3C7"/>
            </w:tcBorders>
          </w:tcPr>
          <w:p>
            <w:r>
              <w:rPr>
                <w:b/>
              </w:rPr>
              <w:t>Labor Cost</w:t>
            </w:r>
          </w:p>
        </w:tc>
        <w:tc>
          <w:tcPr>
            <w:tcW w:type="dxa" w:w="2448"/>
            <w:tcBorders>
              <w:top w:val="single" w:sz="4" w:color="BDC3C7"/>
              <w:bottom w:val="single" w:sz="4" w:color="BDC3C7"/>
              <w:left w:val="single" w:sz="4" w:color="BDC3C7"/>
              <w:right w:val="single" w:sz="4" w:color="BDC3C7"/>
            </w:tcBorders>
          </w:tcPr>
          <w:p>
            <w:r>
              <w:rPr>
                <w:b/>
              </w:rPr>
              <w:t>+30bps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labor_cost_pressure</w:t>
            </w:r>
          </w:p>
        </w:tc>
        <w:tc>
          <w:tcPr>
            <w:tcW w:type="dxa" w:w="2448"/>
            <w:tcBorders>
              <w:top w:val="single" w:sz="4" w:color="BDC3C7"/>
              <w:bottom w:val="single" w:sz="4" w:color="BDC3C7"/>
              <w:left w:val="single" w:sz="4" w:color="BDC3C7"/>
              <w:right w:val="single" w:sz="4" w:color="BDC3C7"/>
            </w:tcBorders>
          </w:tcPr>
          <w:p>
            <w:r>
              <w:t>+30bps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Q1 2026 call noted 'selling expenses grew in line with store expansion plus inflation, despite the double-digit growth in labor costs' — indicating that labor costs are growing double-digits but being offset by efficienc</w:t>
            </w:r>
          </w:p>
        </w:tc>
      </w:tr>
      <w:tr>
        <w:tc>
          <w:tcPr>
            <w:tcW w:type="dxa" w:w="2448"/>
            <w:tcBorders>
              <w:top w:val="single" w:sz="4" w:color="BDC3C7"/>
              <w:bottom w:val="single" w:sz="4" w:color="BDC3C7"/>
              <w:left w:val="single" w:sz="4" w:color="BDC3C7"/>
              <w:right w:val="single" w:sz="4" w:color="BDC3C7"/>
            </w:tcBorders>
          </w:tcPr>
          <w:p>
            <w:r>
              <w:rPr>
                <w:b/>
              </w:rPr>
              <w:t>Other Operating Costs</w:t>
            </w:r>
          </w:p>
        </w:tc>
        <w:tc>
          <w:tcPr>
            <w:tcW w:type="dxa" w:w="2448"/>
            <w:tcBorders>
              <w:top w:val="single" w:sz="4" w:color="BDC3C7"/>
              <w:bottom w:val="single" w:sz="4" w:color="BDC3C7"/>
              <w:left w:val="single" w:sz="4" w:color="BDC3C7"/>
              <w:right w:val="single" w:sz="4" w:color="BDC3C7"/>
            </w:tcBorders>
          </w:tcPr>
          <w:p>
            <w:r>
              <w:rPr>
                <w:b/>
              </w:rPr>
              <w:t>+20bps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admin_expense_growth</w:t>
            </w:r>
          </w:p>
        </w:tc>
        <w:tc>
          <w:tcPr>
            <w:tcW w:type="dxa" w:w="2448"/>
            <w:tcBorders>
              <w:top w:val="single" w:sz="4" w:color="BDC3C7"/>
              <w:bottom w:val="single" w:sz="4" w:color="BDC3C7"/>
              <w:left w:val="single" w:sz="4" w:color="BDC3C7"/>
              <w:right w:val="single" w:sz="4" w:color="BDC3C7"/>
            </w:tcBorders>
          </w:tcPr>
          <w:p>
            <w:r>
              <w:t>+20bps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Q1 2026 administrative expenses increased 13.9% — above revenue growth of 8.3% — suggesting some administrative cost deleverage. However, management completed an FTE reduction program ('On an FTE basis, I think we're don</w:t>
            </w:r>
          </w:p>
        </w:tc>
      </w:tr>
    </w:tbl>
    <w:p>
      <w:pPr>
        <w:pStyle w:val="SubHeading"/>
      </w:pPr>
      <w:r>
        <w:t>Bear revisions:</w:t>
      </w:r>
    </w:p>
    <w:p>
      <w:pPr>
        <w:pStyle w:val="ListBullet"/>
      </w:pPr>
      <w:r>
        <w:t>OXXO Mexico SSS Growth.ticket_growth: 5.0 → 3.0 — If the excise tax pass-through effect on tobacco and soft drinks fades faster than expected (e.g., consumers trade down or reduce purchase frequency in response to higher prices), ticket growth could revert to ~3% — closer to underlying inflation — rather than the 5% we model. The Q1 2026 call noted negative dynamics in snacks, sweets, and alternative beverages, suggesting the excise tax categories are masking weakness in discretionary categories. At 3% ticket growth and -0.5% traffic, SSS would be ~2.5% — well below the mid-single-digit aspiration and below the consensus growth assumption.</w:t>
      </w:r>
    </w:p>
    <w:p>
      <w:pPr>
        <w:pStyle w:val="ListBullet"/>
      </w:pPr>
      <w:r>
        <w:t>OXXO Mexico SSS Growth.traffic_growth: -0.5 → -2.0 — Consumer sentiment in Mexico (proxied by the US Michigan Consumer Sentiment of 49.8, down 4.6% YoY per FRED) and the challenging macro environment described throughout the transcripts could prevent traffic recovery. The Q4 2025 call noted 'a consumer environment that remains challenging' and the Q1 2026 call confirmed traffic was still negative. If the World Cup tailwind (mentioned by management as a FY2026 catalyst) disappoints or if the Mexican peso weakens further, traffic could deteriorate back toward the -3% range seen in Q3 2025.</w:t>
      </w:r>
    </w:p>
    <w:p>
      <w:pPr>
        <w:pStyle w:val="ListBullet"/>
      </w:pPr>
      <w:r>
        <w:t>Net New OXXO Mexico Stores.closures: 150 → 300 — Management's store pruning program could accelerate if traffic remains negative and new store cohort productivity disappoints. The Q4 2025 call noted that newer stores are 'probably selling less than those that we're closing' and that the pruning will 'probably continue.' If the evaluation of the store base identifies a larger tail of underperforming units, closures could reach 300+ in FY2026, reducing net new store additions to ~900 and slowing the revenue growth contribution from unit expansion.</w:t>
      </w:r>
    </w:p>
    <w:p>
      <w:pPr>
        <w:pStyle w:val="SectionHeading"/>
      </w:pPr>
      <w:r>
        <w:t>3. Consensus Gap &amp; Valuation</w:t>
      </w:r>
    </w:p>
    <w:p>
      <w:r>
        <w:t>Our EPS: $4.20  =  baseline $5.96  +  Σ claim impacts $-1.76 (29.5% below consensus $5.96)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$5.96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$5.96 → $4.20 (Δ $-1.76)</w:t>
            </w:r>
          </w:p>
        </w:tc>
        <w:tc>
          <w:tcPr>
            <w:tcW w:type="dxa" w:w="2448"/>
            <w:tcBorders>
              <w:top w:val="single" w:sz="4" w:color="BDC3C7"/>
              <w:bottom w:val="single" w:sz="4" w:color="BDC3C7"/>
              <w:left w:val="single" w:sz="4" w:color="BDC3C7"/>
              <w:right w:val="single" w:sz="4" w:color="BDC3C7"/>
            </w:tcBorders>
          </w:tcPr>
          <w:p>
            <w:r>
              <w:t>Direct EPS delta: $-1.76/share</w:t>
            </w:r>
          </w:p>
        </w:tc>
        <w:tc>
          <w:tcPr>
            <w:tcW w:type="dxa" w:w="2448"/>
            <w:tcBorders>
              <w:top w:val="single" w:sz="4" w:color="BDC3C7"/>
              <w:bottom w:val="single" w:sz="4" w:color="BDC3C7"/>
              <w:left w:val="single" w:sz="4" w:color="BDC3C7"/>
              <w:right w:val="single" w:sz="4" w:color="BDC3C7"/>
            </w:tcBorders>
          </w:tcPr>
          <w:p>
            <w:r>
              <w:t>-1.76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-1.76</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$4.20</w:t>
            </w:r>
          </w:p>
        </w:tc>
      </w:tr>
    </w:tbl>
    <w:p>
      <w:pPr>
        <w:pStyle w:val="PullQuote"/>
      </w:pPr>
      <w:r>
        <w:t xml:space="preserve">  ⚠ 1 claim(s) target a different fiscal period than the current_fy baseline and weren't summed: consensus_next_fy_eps</w:t>
      </w:r>
    </w:p>
    <w:p>
      <w:r>
        <w:t>Our estimate is $1.76 (29.5%) below consensus $5.96. Primary driver: Food Cost.merchandise_cogs_improvement (ours -50.0 vs street -469.6, contributing $-102.760 to EPS variant, evidence: moderate). Variant appears NOT fully priced in based on available market data. Next catalyst: Next quarterly earnings report (2026-07-28 (36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Food Cost.merchandise_cogs_improvement</w:t>
            </w:r>
          </w:p>
        </w:tc>
        <w:tc>
          <w:tcPr>
            <w:tcW w:type="dxa" w:w="1958"/>
            <w:tcBorders>
              <w:top w:val="single" w:sz="4" w:color="BDC3C7"/>
              <w:bottom w:val="single" w:sz="4" w:color="BDC3C7"/>
              <w:left w:val="single" w:sz="4" w:color="BDC3C7"/>
              <w:right w:val="single" w:sz="4" w:color="BDC3C7"/>
            </w:tcBorders>
          </w:tcPr>
          <w:p>
            <w:r>
              <w:t>-50.00</w:t>
            </w:r>
          </w:p>
        </w:tc>
        <w:tc>
          <w:tcPr>
            <w:tcW w:type="dxa" w:w="1958"/>
            <w:tcBorders>
              <w:top w:val="single" w:sz="4" w:color="BDC3C7"/>
              <w:bottom w:val="single" w:sz="4" w:color="BDC3C7"/>
              <w:left w:val="single" w:sz="4" w:color="BDC3C7"/>
              <w:right w:val="single" w:sz="4" w:color="BDC3C7"/>
            </w:tcBorders>
          </w:tcPr>
          <w:p>
            <w:r>
              <w:t>-469.60</w:t>
            </w:r>
          </w:p>
        </w:tc>
        <w:tc>
          <w:tcPr>
            <w:tcW w:type="dxa" w:w="1958"/>
            <w:tcBorders>
              <w:top w:val="single" w:sz="4" w:color="BDC3C7"/>
              <w:bottom w:val="single" w:sz="4" w:color="BDC3C7"/>
              <w:left w:val="single" w:sz="4" w:color="BDC3C7"/>
              <w:right w:val="single" w:sz="4" w:color="BDC3C7"/>
            </w:tcBorders>
          </w:tcPr>
          <w:p>
            <w:r>
              <w:t>-102.760</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Other Operating Costs.admin_expense_growth</w:t>
            </w:r>
          </w:p>
        </w:tc>
        <w:tc>
          <w:tcPr>
            <w:tcW w:type="dxa" w:w="1958"/>
            <w:tcBorders>
              <w:top w:val="single" w:sz="4" w:color="BDC3C7"/>
              <w:bottom w:val="single" w:sz="4" w:color="BDC3C7"/>
              <w:left w:val="single" w:sz="4" w:color="BDC3C7"/>
              <w:right w:val="single" w:sz="4" w:color="BDC3C7"/>
            </w:tcBorders>
          </w:tcPr>
          <w:p>
            <w:r>
              <w:t>+20.00</w:t>
            </w:r>
          </w:p>
        </w:tc>
        <w:tc>
          <w:tcPr>
            <w:tcW w:type="dxa" w:w="1958"/>
            <w:tcBorders>
              <w:top w:val="single" w:sz="4" w:color="BDC3C7"/>
              <w:bottom w:val="single" w:sz="4" w:color="BDC3C7"/>
              <w:left w:val="single" w:sz="4" w:color="BDC3C7"/>
              <w:right w:val="single" w:sz="4" w:color="BDC3C7"/>
            </w:tcBorders>
          </w:tcPr>
          <w:p>
            <w:r>
              <w:t>-399.60</w:t>
            </w:r>
          </w:p>
        </w:tc>
        <w:tc>
          <w:tcPr>
            <w:tcW w:type="dxa" w:w="1958"/>
            <w:tcBorders>
              <w:top w:val="single" w:sz="4" w:color="BDC3C7"/>
              <w:bottom w:val="single" w:sz="4" w:color="BDC3C7"/>
              <w:left w:val="single" w:sz="4" w:color="BDC3C7"/>
              <w:right w:val="single" w:sz="4" w:color="BDC3C7"/>
            </w:tcBorders>
          </w:tcPr>
          <w:p>
            <w:r>
              <w:t>-102.760</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Labor Cost.labor_cost_pressure</w:t>
            </w:r>
          </w:p>
        </w:tc>
        <w:tc>
          <w:tcPr>
            <w:tcW w:type="dxa" w:w="1958"/>
            <w:tcBorders>
              <w:top w:val="single" w:sz="4" w:color="BDC3C7"/>
              <w:bottom w:val="single" w:sz="4" w:color="BDC3C7"/>
              <w:left w:val="single" w:sz="4" w:color="BDC3C7"/>
              <w:right w:val="single" w:sz="4" w:color="BDC3C7"/>
            </w:tcBorders>
          </w:tcPr>
          <w:p>
            <w:r>
              <w:t>+30.00</w:t>
            </w:r>
          </w:p>
        </w:tc>
        <w:tc>
          <w:tcPr>
            <w:tcW w:type="dxa" w:w="1958"/>
            <w:tcBorders>
              <w:top w:val="single" w:sz="4" w:color="BDC3C7"/>
              <w:bottom w:val="single" w:sz="4" w:color="BDC3C7"/>
              <w:left w:val="single" w:sz="4" w:color="BDC3C7"/>
              <w:right w:val="single" w:sz="4" w:color="BDC3C7"/>
            </w:tcBorders>
          </w:tcPr>
          <w:p>
            <w:r>
              <w:t>-389.59</w:t>
            </w:r>
          </w:p>
        </w:tc>
        <w:tc>
          <w:tcPr>
            <w:tcW w:type="dxa" w:w="1958"/>
            <w:tcBorders>
              <w:top w:val="single" w:sz="4" w:color="BDC3C7"/>
              <w:bottom w:val="single" w:sz="4" w:color="BDC3C7"/>
              <w:left w:val="single" w:sz="4" w:color="BDC3C7"/>
              <w:right w:val="single" w:sz="4" w:color="BDC3C7"/>
            </w:tcBorders>
          </w:tcPr>
          <w:p>
            <w:r>
              <w:t>-102.758</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OXXO Mexico SSS Growth.traffic_growth</w:t>
            </w:r>
          </w:p>
        </w:tc>
        <w:tc>
          <w:tcPr>
            <w:tcW w:type="dxa" w:w="1958"/>
            <w:tcBorders>
              <w:top w:val="single" w:sz="4" w:color="BDC3C7"/>
              <w:bottom w:val="single" w:sz="4" w:color="BDC3C7"/>
              <w:left w:val="single" w:sz="4" w:color="BDC3C7"/>
              <w:right w:val="single" w:sz="4" w:color="BDC3C7"/>
            </w:tcBorders>
          </w:tcPr>
          <w:p>
            <w:r>
              <w:t>-0.70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OXXO Mexico SSS Growth.ticket_growth</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Net New OXXO Mexico Stores.gross_openings</w:t>
            </w:r>
          </w:p>
        </w:tc>
        <w:tc>
          <w:tcPr>
            <w:tcW w:type="dxa" w:w="1958"/>
            <w:tcBorders>
              <w:top w:val="single" w:sz="4" w:color="BDC3C7"/>
              <w:bottom w:val="single" w:sz="4" w:color="BDC3C7"/>
              <w:left w:val="single" w:sz="4" w:color="BDC3C7"/>
              <w:right w:val="single" w:sz="4" w:color="BDC3C7"/>
            </w:tcBorders>
          </w:tcPr>
          <w:p>
            <w:r>
              <w:t>+1200.00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Net New OXXO Mexico Stores.closures</w:t>
            </w:r>
          </w:p>
        </w:tc>
        <w:tc>
          <w:tcPr>
            <w:tcW w:type="dxa" w:w="1958"/>
            <w:tcBorders>
              <w:top w:val="single" w:sz="4" w:color="BDC3C7"/>
              <w:bottom w:val="single" w:sz="4" w:color="BDC3C7"/>
              <w:left w:val="single" w:sz="4" w:color="BDC3C7"/>
              <w:right w:val="single" w:sz="4" w:color="BDC3C7"/>
            </w:tcBorders>
          </w:tcPr>
          <w:p>
            <w:r>
              <w:t>+210.00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(-29.5%) exceeds implied move (2.0%)</w:t>
      </w:r>
    </w:p>
    <w:p>
      <w:r>
        <w:t>Edge verdict: ACTIONABLE_EDGE (score 0.170).</w:t>
      </w:r>
    </w:p>
    <w:p>
      <w:pPr>
        <w:pStyle w:val="SectionHeading"/>
      </w:pPr>
      <w:r>
        <w:t>4. Catalysts</w:t>
      </w:r>
    </w:p>
    <w:p>
      <w:pPr>
        <w:pStyle w:val="ListBullet"/>
      </w:pPr>
      <w:r>
        <w:t>Next quarterly earnings report (2026-07-28 (36 days)) — resolves revenue + margins + guidance; confirms or challenges</w:t>
      </w:r>
    </w:p>
    <w:p>
      <w:pPr>
        <w:pStyle w:val="ListBullet"/>
      </w:pPr>
      <w:r>
        <w:t>Resolution: OXXO Mexico is in a durable traffic recovery that will sustain mid-single-digit  (Multi-year thesis -- patience required) — resolves OXXO Mexico SSS Growth; confirms or challenges</w:t>
      </w:r>
    </w:p>
    <w:p>
      <w:pPr>
        <w:pStyle w:val="ListBullet"/>
      </w:pPr>
      <w:r>
        <w:t>Resolution: Americas/Mobility segment will reach profitability and contribute positively to  (Multi-year thesis -- patience required) — resolves Net New OXXO Mexico Stores; confirms or challenges</w:t>
      </w:r>
    </w:p>
    <w:p>
      <w:pPr>
        <w:pStyle w:val="ListBullet"/>
      </w:pPr>
      <w:r>
        <w:t>Resolution: Interest expense normalization is the primary driver of FY2026 EPS recovery (Multi-year thesis -- patience required) — resolves OXXO Mexico SSS Growth; confirms or challenges</w:t>
      </w:r>
    </w:p>
    <w:p>
      <w:pPr>
        <w:pStyle w:val="ListBullet"/>
      </w:pPr>
      <w:r>
        <w:t>Explicit debt schedule and maturity profile — without knowing the gross debt amount, coupon rates, a (Unknown timing) — resolves multiple; resolves uncertainty</w:t>
      </w:r>
    </w:p>
    <w:p>
      <w:pPr>
        <w:pStyle w:val="ListBullet"/>
      </w:pPr>
      <w:r>
        <w:t>Cash and investment balance as of Q1 2026 — needed to determine how much of the $618.7M reflects int (Unknown timing) — resolves multiple; resolves uncertainty</w:t>
      </w:r>
    </w:p>
    <w:p>
      <w:pPr>
        <w:pStyle w:val="SectionHeading"/>
      </w:pPr>
      <w:r>
        <w:t>5. Risks, Blind Spots &amp; Kill Criteria</w:t>
      </w:r>
    </w:p>
    <w:p>
      <w:pPr>
        <w:pStyle w:val="SubHeading"/>
      </w:pPr>
      <w:r>
        <w:t>Top risks:</w:t>
      </w:r>
    </w:p>
    <w:p>
      <w:pPr>
        <w:pStyle w:val="ListBullet"/>
      </w:pPr>
      <w:r>
        <w:t>Interest expense normalization is the primary driver of FY2026 EPS recovery — counter: The $618.7M net interest expense in FY2025 is not explained in detail in the corpus — it is unclear how much reflects gross debt interest vs. net of interest income on cash/investment balances from FEMSA Forward proceeds. The extraordinary dividend of 25.8B pesos (~$1.4B USD) approved at the AGM will reduce cash balances, potentially reducing interest income and partially offsetting any debt paydown benefit. Without explicit debt schedule and cash balance disclosure, the magnitude of interest expense normalization is highly uncertain. [serious]</w:t>
      </w:r>
    </w:p>
    <w:p>
      <w:pPr>
        <w:pStyle w:val="ListBullet"/>
      </w:pPr>
      <w:r>
        <w:t>OXXO Mexico is in a durable traffic recovery that will sustain mid-single-digit SSS growth through FY2026 and FY2027 — counter: Q1 2026 SSS of 6% was explicitly driven in part by excise tax pass-through on tobacco and soft drinks ('revenue growth in the tobacco and soft drink categories, reflecting the pass-through effect from the application of new excise taxes'). Traffic remained 'slightly negative.' The Q4 2025 call showed traffic at -0.6% and SSS at 4.4% — the Q1 2026 improvement is partially a pricing/regulatory event, not purely a traffic recovery. Additionally, the snacks, sweets, and alternative beverage categories showed negative revenue dynamics in Q1 2026, suggesting the recovery is uneven. [moderate]</w:t>
      </w:r>
    </w:p>
    <w:p>
      <w:pPr>
        <w:pStyle w:val="ListBullet2"/>
      </w:pPr>
      <w:r>
        <w:rPr>
          <w:i/>
        </w:rPr>
        <w:t>→ Research confirms: FMX management explicitly cited tobacco and soft drink excise tax pass-through as a Q1 2026 revenue driver. Excise taxes on sugary drinks increased 87.3% (from 1.645 to 3.082 MXN/liter) and tobacco rates rose from 160% to 200% effective January 1, 2026. OXXO Mexico achieved 8.3% revenue growth with pass-through effects noted as a material contributor. (alphaspread.com)</w:t>
      </w:r>
    </w:p>
    <w:p>
      <w:pPr>
        <w:pStyle w:val="ListBullet"/>
      </w:pPr>
      <w:r>
        <w:t>Americas/Mobility segment will reach profitability and contribute positively to consolidated margins in FY2026 — counter: Q1 2026 Americas/Mobility operating margin was only 1.1%, and management explicitly noted that 'the operating margin reflects the recent consolidation of Oxford Brazil, which generates an operating loss at this stage.' Brazil needs ~1,000 stores to cover overhead (Q4 2025 call: 'it's going to be probably around 1,000 stores') and is currently below that threshold. Colombia is 'hopefully very close to any break-even this year' but 'still has a longer way to go' on gross margins. The segment will remain a margin drag through most of FY2026. [moderate]</w:t>
      </w:r>
    </w:p>
    <w:p>
      <w:pPr>
        <w:pStyle w:val="KillCriteria"/>
      </w:pPr>
      <w:r>
        <w:t>What would change our mind: Print on Food Cost.merchandise_cogs_improvement comes in below our -50.0 figure (toward street -469.6) in the next 1-2 prints.</w:t>
      </w:r>
    </w:p>
    <w:p>
      <w:pPr>
        <w:pStyle w:val="SectionHeading"/>
      </w:pPr>
      <w:r>
        <w:t>Appendix</w:t>
      </w:r>
    </w:p>
    <w:p>
      <w:pPr>
        <w:pStyle w:val="SubHeading"/>
      </w:pPr>
      <w:r>
        <w:t>Evidence gaps (research TODO):</w:t>
      </w:r>
    </w:p>
    <w:p>
      <w:pPr>
        <w:pStyle w:val="ListBullet"/>
      </w:pPr>
      <w:r>
        <w:t>Explicit debt schedule and maturity profile — without knowing the gross debt amount, coupon rates, and maturity schedule, it is impossible to model the interest expense normalization trajectory with confidence. The $618.7M net interest expense is the single most important unknown for EPS modeling.</w:t>
      </w:r>
    </w:p>
    <w:p>
      <w:pPr>
        <w:pStyle w:val="ListBullet"/>
      </w:pPr>
      <w:r>
        <w:t>Cash and investment balance as of Q1 2026 — needed to determine how much of the $618.7M reflects interest income being netted against gross interest, and how the extraordinary dividend deployment will affect the net figure.</w:t>
      </w:r>
    </w:p>
    <w:p>
      <w:pPr>
        <w:pStyle w:val="ListBullet"/>
      </w:pPr>
      <w:r>
        <w:t>KOF equity income contribution to FEMSA consolidated P&amp;L — the transcripts reference KOF performance but do not disclose the peso amount of equity income flowing to FEMSA's P&amp;L, which is a critical below-the-line item.</w:t>
      </w:r>
    </w:p>
    <w:p>
      <w:pPr>
        <w:pStyle w:val="ListBullet"/>
      </w:pPr>
      <w:r>
        <w:t>Share count and currency denomination for consensus EPS — the consensus EPS figures ($5.96, $5.30) appear to be in Mexican pesos per share rather than USD per ADS, but this is not confirmed. The structured financials show $62M net income which is inconsistent with $5.96 EPS on any reasonable share count in USD.</w:t>
      </w:r>
    </w:p>
    <w:p>
      <w:pPr>
        <w:pStyle w:val="ListBullet"/>
      </w:pPr>
      <w:r>
        <w:t>OXXO Brazil store count and revenue run-rate — management targets 1,000 stores for overhead coverage but current count is not disclosed in the corpus. The revenue contribution from Brazil consolidation is a key FY2026 revenue upside driver that cannot be precisely quantified.</w:t>
      </w:r>
    </w:p>
    <w:p>
      <w:pPr>
        <w:pStyle w:val="ListBullet"/>
      </w:pPr>
      <w:r>
        <w:t>Valora (Europe) FY2026 outlook — management mentioned 'a couple of interesting deals that we're looking with partnering with some service stations' in the Q4 2025 call but no specifics were disclosed. A material European deal could be an upside catalyst.</w:t>
      </w:r>
    </w:p>
    <w:p>
      <w:pPr>
        <w:pStyle w:val="ListBullet"/>
      </w:pPr>
      <w:r>
        <w:t>Logistics-as-a-Service revenue contribution timeline — the June 2026 news item describes the initiative but provides no revenue or margin guidance. This is a potential FY2027+ upside driver that is currently unquantifiable.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