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FMX — FMX</w:t>
      </w:r>
    </w:p>
    <w:p>
      <w:pPr>
        <w:pStyle w:val="SmallMeta"/>
      </w:pPr>
      <w:r>
        <w:t>As of 2026-06-24  |  Schema: general  |  Data: alpha_vantage (FY2025)</w:t>
      </w:r>
    </w:p>
    <w:p>
      <w:pPr>
        <w:pStyle w:val="SubHeading"/>
      </w:pPr>
      <w:r>
        <w:rPr>
          <w:color w:val="8C1D40"/>
        </w:rPr>
        <w:t>Direction: SHORT | Current: $123.00</w:t>
      </w:r>
    </w:p>
    <w:p>
      <w:pPr>
        <w:pStyle w:val="SubHeading"/>
      </w:pPr>
      <w:r>
        <w:t>Summary</w:t>
      </w:r>
    </w:p>
    <w:p>
      <w:pPr>
        <w:pStyle w:val="ListBullet"/>
      </w:pPr>
      <w:r>
        <w:t>Thesis: The street's FY2026 EPS consensus of $5.96 (+108% YoY from $4.56 reported) is arithmetically implausible given the disclosed operating structure unless it embeds a massive reduction in net interest expense or a one-time tax benefit that is not recurring; simultaneously, the FY2027 consensus EPS of $5.30 (-11% YoY) is internally contradictory with the FY2026 number — together these two anchors reveal that sell-side models are either misaligned on the currency/reporting unit (MXN vs USD ADR), or are embedding a non-recurring item in FY2026 that collapses in FY2027, creating a setup where FY2026 EPS is likely overstated and FY2027 is actually the cleaner baseline year.</w:t>
      </w:r>
    </w:p>
    <w:p>
      <w:pPr>
        <w:pStyle w:val="ListBullet"/>
      </w:pPr>
      <w:r>
        <w:t>Next catalyst: Next quarterly earnings report (2026-07-28 (34 days))</w:t>
      </w:r>
    </w:p>
    <w:p>
      <w:pPr>
        <w:pStyle w:val="ListBullet"/>
      </w:pPr>
      <w:r>
        <w:t>Top risk: Brazil consolidation will be margin-neutral as scale benefits offset startup losses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'consumer_staples'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$1.07</w:t>
            </w:r>
          </w:p>
        </w:tc>
        <w:tc>
          <w:tcPr>
            <w:tcW w:type="dxa" w:w="1399"/>
            <w:tcBorders>
              <w:top w:val="single" w:sz="4" w:color="BDC3C7"/>
              <w:bottom w:val="single" w:sz="4" w:color="BDC3C7"/>
              <w:left w:val="single" w:sz="4" w:color="BDC3C7"/>
              <w:right w:val="single" w:sz="4" w:color="BDC3C7"/>
            </w:tcBorders>
          </w:tcPr>
          <w:p>
            <w:r>
              <w:t>$0.79 – $1.22</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+141.7%</w:t>
            </w:r>
          </w:p>
        </w:tc>
        <w:tc>
          <w:tcPr>
            <w:tcW w:type="dxa" w:w="1399"/>
            <w:tcBorders>
              <w:top w:val="single" w:sz="4" w:color="BDC3C7"/>
              <w:bottom w:val="single" w:sz="4" w:color="BDC3C7"/>
              <w:left w:val="single" w:sz="4" w:color="BDC3C7"/>
              <w:right w:val="single" w:sz="4" w:color="BDC3C7"/>
            </w:tcBorders>
          </w:tcPr>
          <w:p>
            <w:r>
              <w:t>↓ -0.166</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$1.11</w:t>
            </w:r>
          </w:p>
        </w:tc>
        <w:tc>
          <w:tcPr>
            <w:tcW w:type="dxa" w:w="1399"/>
            <w:tcBorders>
              <w:top w:val="single" w:sz="4" w:color="BDC3C7"/>
              <w:bottom w:val="single" w:sz="4" w:color="BDC3C7"/>
              <w:left w:val="single" w:sz="4" w:color="BDC3C7"/>
              <w:right w:val="single" w:sz="4" w:color="BDC3C7"/>
            </w:tcBorders>
          </w:tcPr>
          <w:p>
            <w:r>
              <w:t>$0.86 – $1.25</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+26.2%</w:t>
            </w:r>
          </w:p>
        </w:tc>
        <w:tc>
          <w:tcPr>
            <w:tcW w:type="dxa" w:w="1399"/>
            <w:tcBorders>
              <w:top w:val="single" w:sz="4" w:color="BDC3C7"/>
              <w:bottom w:val="single" w:sz="4" w:color="BDC3C7"/>
              <w:left w:val="single" w:sz="4" w:color="BDC3C7"/>
              <w:right w:val="single" w:sz="4" w:color="BDC3C7"/>
            </w:tcBorders>
          </w:tcPr>
          <w:p>
            <w:r>
              <w:t>↓ -0.166</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$5.96</w:t>
            </w:r>
          </w:p>
        </w:tc>
        <w:tc>
          <w:tcPr>
            <w:tcW w:type="dxa" w:w="1399"/>
            <w:tcBorders>
              <w:top w:val="single" w:sz="4" w:color="BDC3C7"/>
              <w:bottom w:val="single" w:sz="4" w:color="BDC3C7"/>
              <w:left w:val="single" w:sz="4" w:color="BDC3C7"/>
              <w:right w:val="single" w:sz="4" w:color="BDC3C7"/>
            </w:tcBorders>
          </w:tcPr>
          <w:p>
            <w:r>
              <w:t>$5.24 – $6.60</w:t>
            </w:r>
          </w:p>
        </w:tc>
        <w:tc>
          <w:tcPr>
            <w:tcW w:type="dxa" w:w="1399"/>
            <w:tcBorders>
              <w:top w:val="single" w:sz="4" w:color="BDC3C7"/>
              <w:bottom w:val="single" w:sz="4" w:color="BDC3C7"/>
              <w:left w:val="single" w:sz="4" w:color="BDC3C7"/>
              <w:right w:val="single" w:sz="4" w:color="BDC3C7"/>
            </w:tcBorders>
          </w:tcPr>
          <w:p>
            <w:r>
              <w:t>4</w:t>
            </w:r>
          </w:p>
        </w:tc>
        <w:tc>
          <w:tcPr>
            <w:tcW w:type="dxa" w:w="1399"/>
            <w:tcBorders>
              <w:top w:val="single" w:sz="4" w:color="BDC3C7"/>
              <w:bottom w:val="single" w:sz="4" w:color="BDC3C7"/>
              <w:left w:val="single" w:sz="4" w:color="BDC3C7"/>
              <w:right w:val="single" w:sz="4" w:color="BDC3C7"/>
            </w:tcBorders>
          </w:tcPr>
          <w:p>
            <w:r>
              <w:t>+108.5%</w:t>
            </w:r>
          </w:p>
        </w:tc>
        <w:tc>
          <w:tcPr>
            <w:tcW w:type="dxa" w:w="1399"/>
            <w:tcBorders>
              <w:top w:val="single" w:sz="4" w:color="BDC3C7"/>
              <w:bottom w:val="single" w:sz="4" w:color="BDC3C7"/>
              <w:left w:val="single" w:sz="4" w:color="BDC3C7"/>
              <w:right w:val="single" w:sz="4" w:color="BDC3C7"/>
            </w:tcBorders>
          </w:tcPr>
          <w:p>
            <w:r>
              <w:t>↑ +1.137</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$5.30</w:t>
            </w:r>
          </w:p>
        </w:tc>
        <w:tc>
          <w:tcPr>
            <w:tcW w:type="dxa" w:w="1399"/>
            <w:tcBorders>
              <w:top w:val="single" w:sz="4" w:color="BDC3C7"/>
              <w:bottom w:val="single" w:sz="4" w:color="BDC3C7"/>
              <w:left w:val="single" w:sz="4" w:color="BDC3C7"/>
              <w:right w:val="single" w:sz="4" w:color="BDC3C7"/>
            </w:tcBorders>
          </w:tcPr>
          <w:p>
            <w:r>
              <w:t>$5.01 – $5.49</w:t>
            </w:r>
          </w:p>
        </w:tc>
        <w:tc>
          <w:tcPr>
            <w:tcW w:type="dxa" w:w="1399"/>
            <w:tcBorders>
              <w:top w:val="single" w:sz="4" w:color="BDC3C7"/>
              <w:bottom w:val="single" w:sz="4" w:color="BDC3C7"/>
              <w:left w:val="single" w:sz="4" w:color="BDC3C7"/>
              <w:right w:val="single" w:sz="4" w:color="BDC3C7"/>
            </w:tcBorders>
          </w:tcPr>
          <w:p>
            <w:r>
              <w:t>6</w:t>
            </w:r>
          </w:p>
        </w:tc>
        <w:tc>
          <w:tcPr>
            <w:tcW w:type="dxa" w:w="1399"/>
            <w:tcBorders>
              <w:top w:val="single" w:sz="4" w:color="BDC3C7"/>
              <w:bottom w:val="single" w:sz="4" w:color="BDC3C7"/>
              <w:left w:val="single" w:sz="4" w:color="BDC3C7"/>
              <w:right w:val="single" w:sz="4" w:color="BDC3C7"/>
            </w:tcBorders>
          </w:tcPr>
          <w:p>
            <w:r>
              <w:t>-11.1%</w:t>
            </w:r>
          </w:p>
        </w:tc>
        <w:tc>
          <w:tcPr>
            <w:tcW w:type="dxa" w:w="1399"/>
            <w:tcBorders>
              <w:top w:val="single" w:sz="4" w:color="BDC3C7"/>
              <w:bottom w:val="single" w:sz="4" w:color="BDC3C7"/>
              <w:left w:val="single" w:sz="4" w:color="BDC3C7"/>
              <w:right w:val="single" w:sz="4" w:color="BDC3C7"/>
            </w:tcBorders>
          </w:tcPr>
          <w:p>
            <w:r>
              <w:t>↓ -0.032</w:t>
            </w:r>
          </w:p>
        </w:tc>
        <w:tc>
          <w:tcPr>
            <w:tcW w:type="dxa" w:w="1399"/>
            <w:tcBorders>
              <w:top w:val="single" w:sz="4" w:color="BDC3C7"/>
              <w:bottom w:val="single" w:sz="4" w:color="BDC3C7"/>
              <w:left w:val="single" w:sz="4" w:color="BDC3C7"/>
              <w:right w:val="single" w:sz="4" w:color="BDC3C7"/>
            </w:tcBorders>
          </w:tcPr>
          <w:p>
            <w:r>
              <w:t>↑1 / ↓2</w:t>
            </w:r>
          </w:p>
        </w:tc>
      </w:tr>
    </w:tbl>
    <w:p>
      <w:r>
        <w:t>Revenue consensus: Q $224.16B (+6.1%)  |  Q+1 $225.57B (+5.1%)  |  FY $895.28B (+6.5%)  |  FY+1 $965.21B (+7.8%)</w:t>
      </w:r>
    </w:p>
    <w:p>
      <w:r>
        <w:t>Price targets: Mean $124.59  |  Median $125.00  |  Range $112.00–$145.00  |  Current $123.15 (+1.2% to mean)</w:t>
      </w:r>
    </w:p>
    <w:p>
      <w:r>
        <w:t>Analyst ratings (n=15): Strong Buy 3 · Buy 6 · Hold 5 · Sell 0 · Strong Sell 1  ·  60% bullish</w:t>
      </w:r>
    </w:p>
    <w:p>
      <w:r>
        <w:t>Next earnings: 2026-07-28 (34d out)  ·  EPS $1.07 ($0.79–$1.22)  ·  Rev $224.16B</w:t>
      </w:r>
    </w:p>
    <w:p>
      <w:pPr>
        <w:pStyle w:val="SectionHeading"/>
      </w:pPr>
      <w:r>
        <w:t>1. Research Synthesis</w:t>
      </w:r>
    </w:p>
    <w:p>
      <w:r>
        <w:t>FEMSA's reported financials present an immediate analytical puzzle that must be resolved before any forward estimate is credible. The FY2025 structured financials show net interest expense of $10,754M against operating income of $4,002M — a ratio of 2.7x, implying a pre-tax loss of approximately $6.75B. Yet reported net income is $1,077.8M and diluted EPS is $4.56. The reconciliation requires substantial below-the-line income — most likely equity income from the ~47% stake in Coca-Cola FEMSA (KOF), which as a separately listed entity with its own P&amp;L contributes equity-method income to FEMSA's consolidated statement. In Q4 2025, KOF delivered revenue growth of 2.9% and operating income growth of 13.3% per the FEMSA earnings call; annualizing KOF's operating income trajectory and applying FEMSA's ~47% economic interest suggests equity income in the range of $5-8B pesos annually, which partially bridges the gap. Additionally, FEMSA's 'net interest expense' line likely includes FX translation losses and lease-related finance charges that are non-cash or partially offset by FX gains in other periods. The critical analytical point: the $10,754M 'net interest expense' figure is almost certainly not pure cash interest — it is a blended line that includes FX effects, lease finance charges, and potentially mark-to-market items. Sell-side analysts covering FMX as an ADR must navigate this complexity, and the wide EPS range ($5.24-$6.60 for FY2026, a 26% spread across just 4 analysts) confirms that the street itself has not converged on a clean model.</w:t>
      </w:r>
    </w:p>
    <w:p>
      <w:pPr>
        <w:pStyle w:val="ListBullet"/>
      </w:pPr>
      <w:r>
        <w:rPr>
          <w:i/>
        </w:rPr>
        <w:t>→ Research [CONTRADICTS]: FEMSA's economic ownership stake in KOF is 53.7%, not ~47%. This material difference directly impacts the equity income bridge and P&amp;L reconciliation cited as the linchpin of the analysis. (gcs-web.com)</w:t>
      </w:r>
    </w:p>
    <w:p>
      <w:pPr>
        <w:pStyle w:val="ListBullet"/>
      </w:pPr>
      <w:r>
        <w:rPr>
          <w:i/>
        </w:rPr>
        <w:t>→ Research confirms: FEMSA's 2024 net interest expense includes lease-related financial charges. 3Q24 interest expense of Ps. 4,818M explicitly attributed to 'debt and lease related financial expenses' driven by retail network growth. (femsa.com)</w:t>
      </w:r>
    </w:p>
    <w:p>
      <w:r>
        <w:t>The FY2026 consensus EPS of $5.96 (+108% YoY from $4.56) is the central anomaly. A +108% EPS growth rate for a mature multi-format retailer with mid-single-digit revenue growth is extraordinary and demands explanation. Working backward from the consensus: if FY2026 revenue grows ~6.5% to approximately $49,700M (consistent with the quarterly run-rate — Q1 2026 actual was $11,780M, +6.1% YoY, implying a full-year of ~$49-50B), and if operating margins hold near the FY2025 level of 8.6%, operating income would be approximately $4,270M. To get from $4,270M operating income to ~$2,030M net income (340.7M shares × $5.96 EPS) requires the below-the-line drag to shrink from roughly $5,700M (FY2025 implied: $4,002M OI minus $1,078M NI, adjusted for taxes) to approximately $2,900M — a reduction of ~$2,800M. This is a very large implied improvement that the street has not explicitly articulated in any disclosed guidance. The most plausible mechanism is either: (a) a reduction in FX translation losses embedded in the 'net interest expense' line as the MXN stabilizes, (b) a step-up in KOF equity income as KOF's own profitability improves, or (c) a one-time item in FY2025 that depressed the base. Without management guidance to anchor this, the consensus is essentially a black box.</w:t>
      </w:r>
    </w:p>
    <w:p>
      <w:pPr>
        <w:pStyle w:val="ListBullet"/>
      </w:pPr>
      <w:r>
        <w:rPr>
          <w:i/>
        </w:rPr>
        <w:t>→ Research: Search confirms MXN/USD volatility directly impacts net interest expense through FX translation losses. Q1 2026 FEMSA reported Ps. 883 million swing from FX gain to loss; KOF Q1 2026 net income fell 15.5% driven by higher financing costs and unfavorable currency translation. However, no macro FX scenario analysis found in filings—only backward-looking translation impacts disclosed. (femsa.com)</w:t>
      </w:r>
    </w:p>
    <w:p>
      <w:pPr>
        <w:pStyle w:val="ListBullet"/>
      </w:pPr>
      <w:r>
        <w:rPr>
          <w:i/>
        </w:rPr>
        <w:t>→ Research: FEMSA executed $250M (May 2025) and $260M (Dec 2025) accelerated share repurchases, with a third $300M program launched March 2026. Sources explicitly note buyback strategy 'may support earnings per share,' confirming capital return as a material EPS driver alongside operational performance. (sec.gov)</w:t>
      </w:r>
    </w:p>
    <w:p>
      <w:r>
        <w:t>The FY2027 consensus EPS of $5.30 (-11% YoY from the FY2026 consensus of $5.96) is the tell. A company growing revenue at 7-8% annually does not see EPS decline 11% in the following year unless: (a) the FY2026 number embeds a non-recurring item that reverses, or (b) there is a structural cost headwind in FY2027 (Brazil consolidation losses scaling, Colombia overhead, Valora investment cycle). The sell-side's own model implies they are embedding something non-recurring in FY2026 — but with only 4 analysts covering FY2026 and 6 covering FY2027, and with EPS revisions running ↑4/↓0 for FY2026 but ↑1/↓2 for FY2027, the divergence in revision momentum itself signals that analysts are more confident in a near-term boost than in the sustainability of the FY2026 level. This is the structural edge: the FY2026 consensus is likely inflated by a non-recurring item, and the FY2027 consensus is the more honest baseline — but the market is currently pricing FY2026 as the new normal.</w:t>
      </w:r>
    </w:p>
    <w:p>
      <w:r>
        <w:t>On the operating side, the OXXO Mexico recovery is real but fragile. Q1 2026 SSS of +6% (per the earnings call) was driven partly by excise tax pass-through on tobacco and soft drinks — management explicitly noted 'revenue growth in the tobacco and soft drink categories, reflecting the pass-through effect from the application of new excise taxes.' This is a price/mix tailwind, not a traffic recovery. Average traffic remained 'slightly negative' in Q1 2026, improving from the -3.1% in Q3 2025 and -0.6% in Q4 2025, but still not positive. CEO José Antonio Fernández Garza set a clear bar on the Q4 2025 call: 'success should mean same-store-sale growth in the OXXO Mexico level... added with market share growth' and 'a year with same-store sales traffic decline is a year that's a miss.' By that standard, Q1 2026 is still a miss on traffic, even as SSS looks healthy. The sequential trajectory discipline is important here: Q1 2026 revenue of $11,780M vs Q4 2025 of $12,478M is a -5.6% sequential decline. Prior year Q1 2025 vs Q4 2024 is not available in the corpus (only 5 quarters of data provided, with Q1 2025 as the earliest), so I cannot verify whether this seasonal pattern is normal or a break. I label this 'pattern unverified — no prior-Q4 2024 baseline available.' The YoY +6.1% is clean and consistent with the Q3 2025 inflection management described.</w:t>
      </w:r>
    </w:p>
    <w:p>
      <w:r>
        <w:t>The Americas and Mobility segment is the most important margin swing factor for FY2026-2027. Q1 2026 operating margin for this segment was 1.1% — management noted this 'reflects the recent consolidation of OXXO Brazil, which generates an operating loss at this stage.' Brazil was consolidated in Q1 2026 (two months of results per the call), meaning FY2026 will carry a full year of Brazil losses. On the Q4 2025 call, management said Brazil needs 'around 1,000 stores' to cover overhead, and they are 'probably' at that level with confidence. Brazil same-store sales grew 6.9% in local currency in Q1 2026, which is encouraging, but the operating loss drag is real and will weigh on consolidated margins throughout FY2026. Colombia is 'very close to EBIT break-even' per management, and Latam ex-Brazil posted 13.1% currency-neutral SSS growth — these are genuine positives. But the net effect of full-year Brazil consolidation is a headwind to consolidated operating margins that the street may be underweighting, particularly given that the FY2026 EPS consensus already embeds a massive implied improvement in below-the-line items.</w:t>
      </w:r>
    </w:p>
    <w:p>
      <w:r>
        <w:t>On the margin bridge: Q1 2026 gross margin was 40.5% vs 40.3% in Q1 2025 — a modest +20bps YoY improvement. Q4 2025 gross margin was 41.5%, the highest in the trailing 5 quarters, suggesting Q1 2026's sequential decline is partly seasonal. Operating margin in Q1 2026 was 6.9%, identical to Q1 2025 (6.9%), meaning zero operating leverage YoY despite +6.1% revenue growth. This is a yellow flag: if OXXO Mexico is recovering and management is executing overhead reduction ('we have just finished the same thing with FEMSA — on an FTE basis, I think we're done'), one would expect some operating leverage. The flat operating margin YoY in Q1 2026 suggests Brazil consolidation losses and Americas/Mobility investment are absorbing the efficiency gains from OXXO Mexico. The FEMSA Logistics-as-a-Service initiative (per the June 17 news item) is a nascent revenue stream that could improve asset utilization but is not yet material to the P&amp;L.</w:t>
      </w:r>
    </w:p>
    <w:p>
      <w:r>
        <w:t>On ownership and capital allocation: FEMSA's controlling shareholder is Mexican Economic Development Inc. with 74.78% of shares (per the 13D filing), making the float extremely thin — true float is likely under 25% of shares outstanding. This structural feature means: (a) price discovery is limited and consensus can persist even when wrong, (b) the 76.4% increase in short interest (to 1,256,450 shares, per the June 2 news) represents only 0.4% of total shares outstanding — this is not a meaningful short position and does not create squeeze dynamics. The director-level insider sale by Alfonso Garza Garza ($4.49M, 27.1% of his stake, March 2026) is worth noting — a director selling over a quarter of his position is a mild negative signal, though the absolute dollar amount is small relative to the company's market cap. UBS raised its price target to $139 from $122 in May 2026, maintaining Buy — this is the most recent analyst action and suggests at least one major bank is comfortable with the FY2026 consensus. The extraordinary dividend of 25.8 billion pesos approved at the AGM (on top of 15.2 billion pesos ordinary dividend) is a significant capital return signal — management is distributing capital rather than reinvesting it, consistent with the FEMSA Forward framework of returning ~$7.8B total between March 2024 and March 2027.</w:t>
      </w:r>
    </w:p>
    <w:p>
      <w:pPr>
        <w:pStyle w:val="ListBullet"/>
      </w:pPr>
      <w:r>
        <w:rPr>
          <w:i/>
        </w:rPr>
        <w:t>→ Research [UPDATES]: A voting trust (not a single entity named 'Mexican Economic Development Inc.') held 74.78% of voting shares as of May 2007 per SEC 20-F filing. The trust comprises members of five families, not a single controlling shareholder. Current voting trust stake is 70.4% as of 2024. (gcs-web.com)</w:t>
      </w:r>
    </w:p>
    <w:p>
      <w:pPr>
        <w:pStyle w:val="ListBullet"/>
      </w:pPr>
      <w:r>
        <w:rPr>
          <w:i/>
        </w:rPr>
        <w:t>→ Research [CONTRADICTS]: Form 4 confirms March 2026 sale by director Garza Garza, but sale amount was $2.1M (209,264 shares), not $4.49M. Percentage of stake sold was approximately 3.6–4.4% per transaction, not 27.1% total. No 10b5-1 plan mentioned; sales were open-market transactions. (gcs-web.com)</w:t>
      </w:r>
    </w:p>
    <w:p>
      <w:r>
        <w:t>The bear case to this thesis is straightforward: the FY2026 EPS consensus of $5.96 may be correct if the 'net interest expense' line in FY2025 was inflated by a one-time FX loss or mark-to-market item that does not recur in FY2026. If MXN/USD stabilized or strengthened in 2026, the FX translation loss embedded in the interest line could reverse, producing a large below-the-line tailwind that legitimately drives EPS from $4.56 to ~$6. In that scenario, the FY2027 decline to $5.30 would reflect a normalization of FX gains rather than a non-recurring operating item. This is a plausible mechanism, and without explicit management guidance on the composition of the $10,754M net interest expense line, I cannot definitively rule it out. The evidence gap here is material: FEMSA does not provide formal forward guidance, and the structured financials do not decompose the interest expense line into cash interest, FX effects, and lease finance charges. Any analyst building a forward model without this decomposition is working with significant uncertainty — and the wide consensus EPS range ($5.24-$6.60) confirms this. My edge claim is therefore directional rather than point-estimate: the FY2026 consensus embeds assumptions that are not grounded in disclosed operating drivers, and the FY2027 consensus (-11% EPS) is internally inconsistent with a company growing revenue at 7-8% unless a non-recurring item is correctly identified and isolated.</w:t>
      </w:r>
    </w:p>
    <w:p>
      <w:pPr>
        <w:pStyle w:val="ListBullet"/>
      </w:pPr>
      <w:r>
        <w:rPr>
          <w:i/>
        </w:rPr>
        <w:t>→ Research: Valora Europe reported 8.8% EBIT growth in FY2025 and 29.1% operating income growth in Q3 2025 (20.7% currency-neutral), with positive margin expansion. No quantified EPS bridge contribution disclosed; profitability confirmed but synergy realization metrics remain unspecified. (femsa.com)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$1.07</w:t>
            </w:r>
          </w:p>
        </w:tc>
        <w:tc>
          <w:tcPr>
            <w:tcW w:type="dxa" w:w="3264"/>
            <w:tcBorders>
              <w:top w:val="single" w:sz="4" w:color="BDC3C7"/>
              <w:bottom w:val="single" w:sz="4" w:color="BDC3C7"/>
              <w:left w:val="single" w:sz="4" w:color="BDC3C7"/>
              <w:right w:val="single" w:sz="4" w:color="BDC3C7"/>
            </w:tcBorders>
          </w:tcPr>
          <w:p>
            <w:r>
              <w:t>$224,158M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$1.11</w:t>
            </w:r>
          </w:p>
        </w:tc>
        <w:tc>
          <w:tcPr>
            <w:tcW w:type="dxa" w:w="3264"/>
            <w:tcBorders>
              <w:top w:val="single" w:sz="4" w:color="BDC3C7"/>
              <w:bottom w:val="single" w:sz="4" w:color="BDC3C7"/>
              <w:left w:val="single" w:sz="4" w:color="BDC3C7"/>
              <w:right w:val="single" w:sz="4" w:color="BDC3C7"/>
            </w:tcBorders>
          </w:tcPr>
          <w:p>
            <w:r>
              <w:t>$225,572M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$5.96</w:t>
            </w:r>
          </w:p>
        </w:tc>
        <w:tc>
          <w:tcPr>
            <w:tcW w:type="dxa" w:w="3264"/>
            <w:tcBorders>
              <w:top w:val="single" w:sz="4" w:color="BDC3C7"/>
              <w:bottom w:val="single" w:sz="4" w:color="BDC3C7"/>
              <w:left w:val="single" w:sz="4" w:color="BDC3C7"/>
              <w:right w:val="single" w:sz="4" w:color="BDC3C7"/>
            </w:tcBorders>
          </w:tcPr>
          <w:p>
            <w:r>
              <w:t>$895,283M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$5.30</w:t>
            </w:r>
          </w:p>
        </w:tc>
        <w:tc>
          <w:tcPr>
            <w:tcW w:type="dxa" w:w="3264"/>
            <w:tcBorders>
              <w:top w:val="single" w:sz="4" w:color="BDC3C7"/>
              <w:bottom w:val="single" w:sz="4" w:color="BDC3C7"/>
              <w:left w:val="single" w:sz="4" w:color="BDC3C7"/>
              <w:right w:val="single" w:sz="4" w:color="BDC3C7"/>
            </w:tcBorders>
          </w:tcPr>
          <w:p>
            <w:r>
              <w:t>$965,206M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$5.96</w:t>
            </w:r>
          </w:p>
        </w:tc>
        <w:tc>
          <w:tcPr>
            <w:tcW w:type="dxa" w:w="1632"/>
            <w:tcBorders>
              <w:top w:val="single" w:sz="4" w:color="BDC3C7"/>
              <w:bottom w:val="single" w:sz="4" w:color="BDC3C7"/>
              <w:left w:val="single" w:sz="4" w:color="BDC3C7"/>
              <w:right w:val="single" w:sz="4" w:color="BDC3C7"/>
            </w:tcBorders>
          </w:tcPr>
          <w:p>
            <w:r>
              <w:t>$4.80</w:t>
            </w:r>
          </w:p>
        </w:tc>
        <w:tc>
          <w:tcPr>
            <w:tcW w:type="dxa" w:w="1632"/>
            <w:tcBorders>
              <w:top w:val="single" w:sz="4" w:color="BDC3C7"/>
              <w:bottom w:val="single" w:sz="4" w:color="BDC3C7"/>
              <w:left w:val="single" w:sz="4" w:color="BDC3C7"/>
              <w:right w:val="single" w:sz="4" w:color="BDC3C7"/>
            </w:tcBorders>
          </w:tcPr>
          <w:p>
            <w:r>
              <w:t>-1.16</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$5.30</w:t>
            </w:r>
          </w:p>
        </w:tc>
        <w:tc>
          <w:tcPr>
            <w:tcW w:type="dxa" w:w="1632"/>
            <w:tcBorders>
              <w:top w:val="single" w:sz="4" w:color="BDC3C7"/>
              <w:bottom w:val="single" w:sz="4" w:color="BDC3C7"/>
              <w:left w:val="single" w:sz="4" w:color="BDC3C7"/>
              <w:right w:val="single" w:sz="4" w:color="BDC3C7"/>
            </w:tcBorders>
          </w:tcPr>
          <w:p>
            <w:r>
              <w:t>$5.50</w:t>
            </w:r>
          </w:p>
        </w:tc>
        <w:tc>
          <w:tcPr>
            <w:tcW w:type="dxa" w:w="1632"/>
            <w:tcBorders>
              <w:top w:val="single" w:sz="4" w:color="BDC3C7"/>
              <w:bottom w:val="single" w:sz="4" w:color="BDC3C7"/>
              <w:left w:val="single" w:sz="4" w:color="BDC3C7"/>
              <w:right w:val="single" w:sz="4" w:color="BDC3C7"/>
            </w:tcBorders>
          </w:tcPr>
          <w:p>
            <w:r>
              <w:t>+0.20</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consensus_fy_eps</w:t>
      </w:r>
    </w:p>
    <w:p>
      <w:r>
        <w:t>The FY2026 consensus EPS of $5.96 (+108% YoY) is arithmetically inconsistent with disclosed operating drivers: Q1 2026 operating margin was flat YoY at 6.9% despite +6.1% revenue growth, Brazil consolidation is a full-year drag in FY2026, and no management guidance exists to anchor the implied ~$2.8B reduction in below-the-line drag. Our $4.80 estimate assumes operating income grows ~7% (consistent with Q1 trajectory) and below-the-line items improve modestly but not dramatically, implying net income of ~$1.63B on 340M shares.</w:t>
      </w:r>
    </w:p>
    <w:p>
      <w:r>
        <w:t>Street anchor: $5.96 (yfinance consensus, FY2026) → Our view: $4.80</w:t>
      </w:r>
    </w:p>
    <w:p>
      <w:pPr>
        <w:pStyle w:val="PullQuote"/>
      </w:pPr>
      <w:r>
        <w:t>“The operating margin reflects the recent consolidation of Oxford Brazil, which generates an operating loss at this stage, partially offset by strong fuel performance and narrowing losses across the remainder of Oxford Latin.”  (transcript)</w:t>
      </w:r>
    </w:p>
    <w:p>
      <w:pPr>
        <w:pStyle w:val="PullQuote"/>
      </w:pPr>
      <w:r>
        <w:t>“Q1 2026 operating margin 6.9%, identical to Q1 2025 6.9% — zero operating leverage YoY despite +6.1% revenue growth”  (filing)</w:t>
      </w:r>
    </w:p>
    <w:p>
      <w:pPr>
        <w:pStyle w:val="PullQuote"/>
      </w:pPr>
      <w:r>
        <w:t>“EPS range $5.24-$6.60, 4 analysts — a 26% spread confirming street has not converged on a clean model”  (peer)</w:t>
      </w:r>
    </w:p>
    <w:p>
      <w:r>
        <w:t>Why not consensus: Sell-side analysts covering FMX as an ADR must model the below-the-line items (KOF equity income, FX translation effects on the interest line, lease finance charges) that are not decomposed in the structured financials; with only 4 analysts covering FY2026 and no management guidance, the consensus is likely anchored to a top-down EPS growth assumption rather than a bottoms-up reconciliation of the interest expense line — the 26% EPS range confirms this lack of convergence.</w:t>
      </w:r>
    </w:p>
    <w:p>
      <w:pPr>
        <w:pStyle w:val="KillCriteria"/>
      </w:pPr>
      <w:r>
        <w:t>Falsifier: If Q2 2026 results show a material reduction in reported net interest expense (e.g. below $2B for the quarter vs ~$2.7B implied quarterly run-rate in FY2025) driven by FX gains or KOF equity income step-up, the consensus $5.96 would be validated and our $4.80 would be too low.</w:t>
      </w:r>
    </w:p>
    <w:p>
      <w:pPr>
        <w:pStyle w:val="SubHeading"/>
      </w:pPr>
      <w:r>
        <w:t>Claim 2 — consensus_next_fy_eps</w:t>
      </w:r>
    </w:p>
    <w:p>
      <w:r>
        <w:t>The FY2027 consensus EPS of $5.30 (-11% YoY from FY2026's $5.96) is internally contradictory for a company with 7-8% revenue growth, improving OXXO Mexico SSS trajectory, Colombia approaching EBIT break-even, and Brazil scaling toward profitability — unless FY2026 embeds a non-recurring boost. If FY2026 is actually closer to our $4.80 estimate (no non-recurring item), then FY2027 at $5.50 represents a more realistic +15% growth on a clean base, driven by OXXO Mexico traffic recovery, Americas/Mobility margin improvement, and continued Valora efficiency gains.</w:t>
      </w:r>
    </w:p>
    <w:p>
      <w:r>
        <w:t>Street anchor: $5.30 (yfinance consensus, FY2027) → Our view: $5.50</w:t>
      </w:r>
    </w:p>
    <w:p>
      <w:pPr>
        <w:pStyle w:val="PullQuote"/>
      </w:pPr>
      <w:r>
        <w:t>“I would love to see Colombia in an EBIT, at least EBIT break-even, and then Brazil hitting its targets of getting closer to a nice gross margin, opening 100 net new stores successfully.”  (transcript)</w:t>
      </w:r>
    </w:p>
    <w:p>
      <w:pPr>
        <w:pStyle w:val="PullQuote"/>
      </w:pPr>
      <w:r>
        <w:t>“Same-store sales for proximity Americas approaching the mid-single-digit growth range at 4.4%, and traffic that while still negative, 0.6%, was markedly better than what we saw earlier in the year.”  (transcript)</w:t>
      </w:r>
    </w:p>
    <w:p>
      <w:pPr>
        <w:pStyle w:val="PullQuote"/>
      </w:pPr>
      <w:r>
        <w:t>“FY2027 EPS revisions: ↑1 / ↓2 over 30 days — more downgrades than upgrades, suggesting street is already losing confidence in the FY2027 number”  (peer)</w:t>
      </w:r>
    </w:p>
    <w:p>
      <w:r>
        <w:t>Why not consensus: The FY2027 consensus decline is internally inconsistent with the FY2026 consensus unless analysts have explicitly modeled a non-recurring FY2026 item — but with no management guidance and a wide FY2026 range, it is more likely that the FY2027 number is a mechanical step-down from an inflated FY2026 base rather than a genuine operating forecast; analysts covering both years are likely using different base assumptions without reconciling them.</w:t>
      </w:r>
    </w:p>
    <w:p>
      <w:pPr>
        <w:pStyle w:val="KillCriteria"/>
      </w:pPr>
      <w:r>
        <w:t>Falsifier: If management explicitly discloses a one-time FX gain or asset sale gain in FY2026 results that inflates the FY2026 EPS base, the FY2027 decline would be validated and our $5.50 would be too high.</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 Growth</w:t>
            </w:r>
          </w:p>
        </w:tc>
        <w:tc>
          <w:tcPr>
            <w:tcW w:type="dxa" w:w="2448"/>
            <w:tcBorders>
              <w:top w:val="single" w:sz="4" w:color="BDC3C7"/>
              <w:bottom w:val="single" w:sz="4" w:color="BDC3C7"/>
              <w:left w:val="single" w:sz="4" w:color="BDC3C7"/>
              <w:right w:val="single" w:sz="4" w:color="BDC3C7"/>
            </w:tcBorders>
          </w:tcPr>
          <w:p>
            <w:r>
              <w:rPr>
                <w:b/>
              </w:rPr>
              <w:t>+4.60%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OXXO Mexico SSS contribution</w:t>
            </w:r>
          </w:p>
        </w:tc>
        <w:tc>
          <w:tcPr>
            <w:tcW w:type="dxa" w:w="2448"/>
            <w:tcBorders>
              <w:top w:val="single" w:sz="4" w:color="BDC3C7"/>
              <w:bottom w:val="single" w:sz="4" w:color="BDC3C7"/>
              <w:left w:val="single" w:sz="4" w:color="BDC3C7"/>
              <w:right w:val="single" w:sz="4" w:color="BDC3C7"/>
            </w:tcBorders>
          </w:tcPr>
          <w:p>
            <w:r>
              <w:t>+2.10%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 xml:space="preserve">In the Q1 2026 earnings call, management reported OXXO Mexico total revenue growth of 8.3% driven by same-store sales growth of 6% and 158 net new store additions. The 6% SSS was partly driven by excise tax pass-through </w:t>
            </w:r>
          </w:p>
        </w:tc>
      </w:tr>
      <w:tr>
        <w:tc>
          <w:tcPr>
            <w:tcW w:type="dxa" w:w="2448"/>
            <w:tcBorders>
              <w:top w:val="single" w:sz="4" w:color="BDC3C7"/>
              <w:bottom w:val="single" w:sz="4" w:color="BDC3C7"/>
              <w:left w:val="single" w:sz="4" w:color="BDC3C7"/>
              <w:right w:val="single" w:sz="4" w:color="BDC3C7"/>
            </w:tcBorders>
          </w:tcPr>
          <w:p>
            <w:r>
              <w:t xml:space="preserve">    Americas and Mobility (Brazil consolidation + LatAm growth)</w:t>
            </w:r>
          </w:p>
        </w:tc>
        <w:tc>
          <w:tcPr>
            <w:tcW w:type="dxa" w:w="2448"/>
            <w:tcBorders>
              <w:top w:val="single" w:sz="4" w:color="BDC3C7"/>
              <w:bottom w:val="single" w:sz="4" w:color="BDC3C7"/>
              <w:left w:val="single" w:sz="4" w:color="BDC3C7"/>
              <w:right w:val="single" w:sz="4" w:color="BDC3C7"/>
            </w:tcBorders>
          </w:tcPr>
          <w:p>
            <w:r>
              <w:t>+1.80%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The Q1 2026 call disclosed that Americas and Mobility delivered total revenues of 25 billion pesos, growing 12.9% (10.5% on a comparable and currency-neutral basis), with Latam ex-Brazil posting 13.1% currency-neutral SS</w:t>
            </w:r>
          </w:p>
        </w:tc>
      </w:tr>
      <w:tr>
        <w:tc>
          <w:tcPr>
            <w:tcW w:type="dxa" w:w="2448"/>
            <w:tcBorders>
              <w:top w:val="single" w:sz="4" w:color="BDC3C7"/>
              <w:bottom w:val="single" w:sz="4" w:color="BDC3C7"/>
              <w:left w:val="single" w:sz="4" w:color="BDC3C7"/>
              <w:right w:val="single" w:sz="4" w:color="BDC3C7"/>
            </w:tcBorders>
          </w:tcPr>
          <w:p>
            <w:r>
              <w:t xml:space="preserve">    Europe (Valora) and Health</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In Q1 2026, Europe reported revenues of 12.9 billion pesos, stable in peso terms or up 1.5% on a currency-neutral basis, with Valora facing soft traffic trends outside core Swiss retail. The Health division reported reve</w:t>
            </w:r>
          </w:p>
        </w:tc>
      </w:tr>
    </w:tbl>
    <w:p>
      <w:pPr>
        <w:pStyle w:val="SubHeading"/>
      </w:pPr>
      <w:r>
        <w:t>Bear revisions:</w:t>
      </w:r>
    </w:p>
    <w:p>
      <w:pPr>
        <w:pStyle w:val="ListBullet"/>
      </w:pPr>
      <w:r>
        <w:t>Revenue Growth.OXXO Mexico SSS contribution: 3.5 → 1.5 — If excise tax pass-through effects fade faster than expected in H2 2026 and traffic remains negative (consistent with the Q1 2026 pattern), OXXO Mexico SSS could decelerate to 2-3% for the full year, reducing the consolidated revenue contribution from 3.5% to 1.5%. The CEO's own bar — positive traffic growth — has not been met as of Q1 2026, and the World Cup tailwind (cited as a potential catalyst) is a one-time event.</w:t>
      </w:r>
    </w:p>
    <w:p>
      <w:pPr>
        <w:pStyle w:val="SubHeading"/>
      </w:pPr>
      <w:r>
        <w:t>Comp decomposition check:</w:t>
      </w:r>
    </w:p>
    <w:p>
      <w:pPr>
        <w:pStyle w:val="ListBullet"/>
      </w:pPr>
      <w:r>
        <w:t>Schema mismatch: peer comps fit 'consumer_staples'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ListBullet"/>
      </w:pPr>
      <w:r>
        <w:rPr>
          <w:i/>
        </w:rPr>
        <w:t>→ Research confirms: FEMSA Q1 2026 earnings call confirms 6% OXXO Mexico SSS growth with explicit management statement on excise tax pass-through in tobacco and soft drinks. CFO noted significant ticket growth portion was tax-related with inelastic consumer behavior. (alphaspread.com)</w:t>
      </w:r>
    </w:p>
    <w:p>
      <w:pPr>
        <w:pStyle w:val="SectionHeading"/>
      </w:pPr>
      <w:r>
        <w:t>3. Consensus Gap &amp; Valuation</w:t>
      </w:r>
    </w:p>
    <w:p>
      <w:r>
        <w:t>Our EPS: $4.80  =  baseline $5.96  +  Σ claim impacts $-1.16 (19.5% below consensus $5.96)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$5.96</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$5.96 → $4.80 (Δ $-1.16)</w:t>
            </w:r>
          </w:p>
        </w:tc>
        <w:tc>
          <w:tcPr>
            <w:tcW w:type="dxa" w:w="2448"/>
            <w:tcBorders>
              <w:top w:val="single" w:sz="4" w:color="BDC3C7"/>
              <w:bottom w:val="single" w:sz="4" w:color="BDC3C7"/>
              <w:left w:val="single" w:sz="4" w:color="BDC3C7"/>
              <w:right w:val="single" w:sz="4" w:color="BDC3C7"/>
            </w:tcBorders>
          </w:tcPr>
          <w:p>
            <w:r>
              <w:t>Direct EPS delta: $-1.16/share</w:t>
            </w:r>
          </w:p>
        </w:tc>
        <w:tc>
          <w:tcPr>
            <w:tcW w:type="dxa" w:w="2448"/>
            <w:tcBorders>
              <w:top w:val="single" w:sz="4" w:color="BDC3C7"/>
              <w:bottom w:val="single" w:sz="4" w:color="BDC3C7"/>
              <w:left w:val="single" w:sz="4" w:color="BDC3C7"/>
              <w:right w:val="single" w:sz="4" w:color="BDC3C7"/>
            </w:tcBorders>
          </w:tcPr>
          <w:p>
            <w:r>
              <w:t>-1.16</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-1.16</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$4.80</w:t>
            </w:r>
          </w:p>
        </w:tc>
      </w:tr>
    </w:tbl>
    <w:p>
      <w:pPr>
        <w:pStyle w:val="PullQuote"/>
      </w:pPr>
      <w:r>
        <w:t xml:space="preserve">  ⚠ 1 claim(s) target a different fiscal period than the current_fy baseline and weren't summed: consensus_next_fy_eps</w:t>
      </w:r>
    </w:p>
    <w:p>
      <w:r>
        <w:t>Our estimate is $1.16 (19.5%) below consensus $5.96. Primary driver: Revenue Growth.Americas and Mobility (Brazil consolidation + LatAm growth) (ours +1.8 vs street -3.7, contributing $+2.208 to EPS variant, evidence: moderate). Variant appears NOT fully priced in based on available market data. Next catalyst: Next quarterly earnings report (2026-07-28 (34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 Growth.Americas and Mobility (Brazil consolidation + LatAm growth)</w:t>
            </w:r>
          </w:p>
        </w:tc>
        <w:tc>
          <w:tcPr>
            <w:tcW w:type="dxa" w:w="1958"/>
            <w:tcBorders>
              <w:top w:val="single" w:sz="4" w:color="BDC3C7"/>
              <w:bottom w:val="single" w:sz="4" w:color="BDC3C7"/>
              <w:left w:val="single" w:sz="4" w:color="BDC3C7"/>
              <w:right w:val="single" w:sz="4" w:color="BDC3C7"/>
            </w:tcBorders>
          </w:tcPr>
          <w:p>
            <w:r>
              <w:t>+1.80</w:t>
            </w:r>
          </w:p>
        </w:tc>
        <w:tc>
          <w:tcPr>
            <w:tcW w:type="dxa" w:w="1958"/>
            <w:tcBorders>
              <w:top w:val="single" w:sz="4" w:color="BDC3C7"/>
              <w:bottom w:val="single" w:sz="4" w:color="BDC3C7"/>
              <w:left w:val="single" w:sz="4" w:color="BDC3C7"/>
              <w:right w:val="single" w:sz="4" w:color="BDC3C7"/>
            </w:tcBorders>
          </w:tcPr>
          <w:p>
            <w:r>
              <w:t>-3.72</w:t>
            </w:r>
          </w:p>
        </w:tc>
        <w:tc>
          <w:tcPr>
            <w:tcW w:type="dxa" w:w="1958"/>
            <w:tcBorders>
              <w:top w:val="single" w:sz="4" w:color="BDC3C7"/>
              <w:bottom w:val="single" w:sz="4" w:color="BDC3C7"/>
              <w:left w:val="single" w:sz="4" w:color="BDC3C7"/>
              <w:right w:val="single" w:sz="4" w:color="BDC3C7"/>
            </w:tcBorders>
          </w:tcPr>
          <w:p>
            <w:r>
              <w:t>+2.208</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Revenue Growth.OXXO Mexico SSS contribution</w:t>
            </w:r>
          </w:p>
        </w:tc>
        <w:tc>
          <w:tcPr>
            <w:tcW w:type="dxa" w:w="1958"/>
            <w:tcBorders>
              <w:top w:val="single" w:sz="4" w:color="BDC3C7"/>
              <w:bottom w:val="single" w:sz="4" w:color="BDC3C7"/>
              <w:left w:val="single" w:sz="4" w:color="BDC3C7"/>
              <w:right w:val="single" w:sz="4" w:color="BDC3C7"/>
            </w:tcBorders>
          </w:tcPr>
          <w:p>
            <w:r>
              <w:t>+2.10</w:t>
            </w:r>
          </w:p>
        </w:tc>
        <w:tc>
          <w:tcPr>
            <w:tcW w:type="dxa" w:w="1958"/>
            <w:tcBorders>
              <w:top w:val="single" w:sz="4" w:color="BDC3C7"/>
              <w:bottom w:val="single" w:sz="4" w:color="BDC3C7"/>
              <w:left w:val="single" w:sz="4" w:color="BDC3C7"/>
              <w:right w:val="single" w:sz="4" w:color="BDC3C7"/>
            </w:tcBorders>
          </w:tcPr>
          <w:p>
            <w:r>
              <w:t>-3.42</w:t>
            </w:r>
          </w:p>
        </w:tc>
        <w:tc>
          <w:tcPr>
            <w:tcW w:type="dxa" w:w="1958"/>
            <w:tcBorders>
              <w:top w:val="single" w:sz="4" w:color="BDC3C7"/>
              <w:bottom w:val="single" w:sz="4" w:color="BDC3C7"/>
              <w:left w:val="single" w:sz="4" w:color="BDC3C7"/>
              <w:right w:val="single" w:sz="4" w:color="BDC3C7"/>
            </w:tcBorders>
          </w:tcPr>
          <w:p>
            <w:r>
              <w:t>+2.208</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Revenue Growth.Europe (Valora) and Health</w:t>
            </w:r>
          </w:p>
        </w:tc>
        <w:tc>
          <w:tcPr>
            <w:tcW w:type="dxa" w:w="1958"/>
            <w:tcBorders>
              <w:top w:val="single" w:sz="4" w:color="BDC3C7"/>
              <w:bottom w:val="single" w:sz="4" w:color="BDC3C7"/>
              <w:left w:val="single" w:sz="4" w:color="BDC3C7"/>
              <w:right w:val="single" w:sz="4" w:color="BDC3C7"/>
            </w:tcBorders>
          </w:tcPr>
          <w:p>
            <w:r>
              <w:t>+0.70</w:t>
            </w:r>
          </w:p>
        </w:tc>
        <w:tc>
          <w:tcPr>
            <w:tcW w:type="dxa" w:w="1958"/>
            <w:tcBorders>
              <w:top w:val="single" w:sz="4" w:color="BDC3C7"/>
              <w:bottom w:val="single" w:sz="4" w:color="BDC3C7"/>
              <w:left w:val="single" w:sz="4" w:color="BDC3C7"/>
              <w:right w:val="single" w:sz="4" w:color="BDC3C7"/>
            </w:tcBorders>
          </w:tcPr>
          <w:p>
            <w:r>
              <w:t>-4.81</w:t>
            </w:r>
          </w:p>
        </w:tc>
        <w:tc>
          <w:tcPr>
            <w:tcW w:type="dxa" w:w="1958"/>
            <w:tcBorders>
              <w:top w:val="single" w:sz="4" w:color="BDC3C7"/>
              <w:bottom w:val="single" w:sz="4" w:color="BDC3C7"/>
              <w:left w:val="single" w:sz="4" w:color="BDC3C7"/>
              <w:right w:val="single" w:sz="4" w:color="BDC3C7"/>
            </w:tcBorders>
          </w:tcPr>
          <w:p>
            <w:r>
              <w:t>+2.204</w:t>
            </w:r>
          </w:p>
        </w:tc>
        <w:tc>
          <w:tcPr>
            <w:tcW w:type="dxa" w:w="1958"/>
            <w:tcBorders>
              <w:top w:val="single" w:sz="4" w:color="BDC3C7"/>
              <w:bottom w:val="single" w:sz="4" w:color="BDC3C7"/>
              <w:left w:val="single" w:sz="4" w:color="BDC3C7"/>
              <w:right w:val="single" w:sz="4" w:color="BDC3C7"/>
            </w:tcBorders>
          </w:tcPr>
          <w:p>
            <w:r>
              <w:t>0.50</w:t>
            </w:r>
          </w:p>
        </w:tc>
      </w:tr>
    </w:tbl>
    <w:p>
      <w:r>
        <w:t>Priced in: not fully — Variant (-19.5%) exceeds implied move (1.8%)</w:t>
      </w:r>
    </w:p>
    <w:p>
      <w:r>
        <w:t>Edge verdict: ACTIONABLE_EDGE (score 0.161).</w:t>
      </w:r>
    </w:p>
    <w:p>
      <w:pPr>
        <w:pStyle w:val="SectionHeading"/>
      </w:pPr>
      <w:r>
        <w:t>4. Catalysts</w:t>
      </w:r>
    </w:p>
    <w:p>
      <w:pPr>
        <w:pStyle w:val="ListBullet"/>
      </w:pPr>
      <w:r>
        <w:t>Next quarterly earnings report (2026-07-28 (34 days)) — resolves revenue + margins + guidance; confirms or challenges</w:t>
      </w:r>
    </w:p>
    <w:p>
      <w:pPr>
        <w:pStyle w:val="ListBullet"/>
      </w:pPr>
      <w:r>
        <w:t>Resolution: OXXO Mexico SSS recovery is durable and traffic is inflecting positively, suppor (Multi-year thesis -- patience required) — resolves Revenue Growth; confirms or challenges</w:t>
      </w:r>
    </w:p>
    <w:p>
      <w:pPr>
        <w:pStyle w:val="ListBullet"/>
      </w:pPr>
      <w:r>
        <w:t>Resolution: Brazil consolidation will be margin-neutral as scale benefits offset startup los (Multi-year thesis -- patience required) — resolves COGS as % of Revenue; confirms or challenges</w:t>
      </w:r>
    </w:p>
    <w:p>
      <w:pPr>
        <w:pStyle w:val="ListBullet"/>
      </w:pPr>
      <w:r>
        <w:t>Resolution: FY2026 EPS of $5.96 is achievable through operating leverage and below-the-line  (Multi-year thesis -- patience required) — resolves Operating Expense Ratio; confirms or challenges</w:t>
      </w:r>
    </w:p>
    <w:p>
      <w:pPr>
        <w:pStyle w:val="ListBullet"/>
      </w:pPr>
      <w:r>
        <w:t>Decomposition of the $10,754M 'net interest expense' line in FY2025 into: (a) cash interest on corpo (Unknown timing) — resolves multiple; resolves uncertainty</w:t>
      </w:r>
    </w:p>
    <w:p>
      <w:pPr>
        <w:pStyle w:val="ListBullet"/>
      </w:pPr>
      <w:r>
        <w:t>KOF equity income contribution to FEMSA consolidated net income — the ~47% stake in KOF is the most  (Unknown timing) — resolves multiple; resolves uncertainty</w:t>
      </w:r>
    </w:p>
    <w:p>
      <w:pPr>
        <w:pStyle w:val="SectionHeading"/>
      </w:pPr>
      <w:r>
        <w:t>5. Risks, Blind Spots &amp; Kill Criteria</w:t>
      </w:r>
    </w:p>
    <w:p>
      <w:pPr>
        <w:pStyle w:val="SubHeading"/>
      </w:pPr>
      <w:r>
        <w:t>Top risks:</w:t>
      </w:r>
    </w:p>
    <w:p>
      <w:pPr>
        <w:pStyle w:val="ListBullet"/>
      </w:pPr>
      <w:r>
        <w:t>Brazil consolidation will be margin-neutral as scale benefits offset startup losses — counter: Q1 2026 Americas and Mobility operating margin was only 1.1%, with management explicitly noting 'the operating margin reflects the recent consolidation of OXXO Brazil, which generates an operating loss at this stage.' Brazil needs ~1,000 stores to cover overhead per management, and they are currently well below that threshold. Full-year Brazil consolidation in FY2026 will be a larger drag than the two-month Q1 2026 impact suggests. [serious]</w:t>
      </w:r>
    </w:p>
    <w:p>
      <w:pPr>
        <w:pStyle w:val="ListBullet2"/>
      </w:pPr>
      <w:r>
        <w:rPr>
          <w:i/>
        </w:rPr>
        <w:t>→ Research confirms: Q4 2025 earnings call confirms management stated Brazil needs "around 1,000 stores" to cover overhead. Brazil consolidation timing and full-year 2026 loss impact align with brief claim. (investing.com)</w:t>
      </w:r>
    </w:p>
    <w:p>
      <w:pPr>
        <w:pStyle w:val="ListBullet"/>
      </w:pPr>
      <w:r>
        <w:t>FY2026 EPS of $5.96 is achievable through operating leverage and below-the-line improvement — counter: Q1 2026 operating margin was flat YoY at 6.9% despite +6.1% revenue growth — zero operating leverage. The FY2025 net interest expense of $10,754M exceeds operating income of $4,002M by 2.7x, and no management guidance exists to anchor the implied ~$2.8B reduction in below-the-line drag required to reach $5.96 EPS. The wide analyst EPS range ($5.24-$6.60) confirms the street has not converged on a clean model. [serious]</w:t>
      </w:r>
    </w:p>
    <w:p>
      <w:pPr>
        <w:pStyle w:val="ListBullet2"/>
      </w:pPr>
      <w:r>
        <w:rPr>
          <w:i/>
        </w:rPr>
        <w:t>→ Research [UPDATES]: Search confirms analyst coverage of FMX but reveals material discrepancy: 9 analysts cover FMX (not 4), with FY2026 consensus EPS of $5.32. Q1 2026 results included a one-time non-cash tax gain from BradyPLUS/Imperial Dade merger, a non-recurring item affecting reported profitability. (kavout.com)</w:t>
      </w:r>
    </w:p>
    <w:p>
      <w:pPr>
        <w:pStyle w:val="ListBullet"/>
      </w:pPr>
      <w:r>
        <w:t>OXXO Mexico SSS recovery is durable and traffic is inflecting positively, supporting mid-single-digit revenue growth — counter: Q1 2026 traffic remained 'slightly negative' despite +6% SSS — management explicitly acknowledged 'average traffic remained slightly negative during the quarter.' The +6% SSS was partly driven by excise tax pass-through on tobacco and soft drinks, which is a one-time price effect that will lap in Q1 2027. CEO set the bar as 'a year with same-store sales traffic decline is a year that's a miss' — by that standard, Q1 2026 is still a miss. [moderate]</w:t>
      </w:r>
    </w:p>
    <w:p>
      <w:pPr>
        <w:pStyle w:val="KillCriteria"/>
      </w:pPr>
      <w:r>
        <w:t>What would change our mind: Print on Revenue Growth.Americas and Mobility (Brazil consolidation + LatAm growth) comes in below our +1.8 figure (toward street -3.7) in the next 1-2 prints.</w:t>
      </w:r>
    </w:p>
    <w:p>
      <w:pPr>
        <w:pStyle w:val="SectionHeading"/>
      </w:pPr>
      <w:r>
        <w:t>Appendix</w:t>
      </w:r>
    </w:p>
    <w:p>
      <w:pPr>
        <w:pStyle w:val="SubHeading"/>
      </w:pPr>
      <w:r>
        <w:t>Business context:</w:t>
      </w:r>
    </w:p>
    <w:p>
      <w:r>
        <w:t>Fomento Económico Mexicano (FEMSA) is a Mexican multinational operating across three core verticals: Proximity (OXXO convenience stores in Mexico, Latin America, and the U.S., plus OXXO Gas fuel stations), Health (pharmacy chains across Mexico and South America), and Digital/Logistics (Spin by FEMSA fintech, logistics-as-a-service). FEMSA also holds a ~47% economic stake in Coca-Cola FEMSA (KOF), the world's largest Coca-Cola bottler by volume, which contributes equity income and is consolidated in reported financials. Revenue is generated primarily through retail merchandise sales, fuel sales, pharmacy dispensing, and a growing financial services/logistics fee stream.</w:t>
      </w:r>
    </w:p>
    <w:p>
      <w:pPr>
        <w:pStyle w:val="SubHeading"/>
      </w:pPr>
      <w:r>
        <w:t>Evidence gaps (research TODO):</w:t>
      </w:r>
    </w:p>
    <w:p>
      <w:pPr>
        <w:pStyle w:val="ListBullet"/>
      </w:pPr>
      <w:r>
        <w:t>Decomposition of the $10,754M 'net interest expense' line in FY2025 into: (a) cash interest on corporate debt, (b) FX translation losses/gains, (c) lease finance charges, (d) KOF equity income offset — without this, the FY2026 EPS consensus cannot be validated or refuted</w:t>
      </w:r>
    </w:p>
    <w:p>
      <w:pPr>
        <w:pStyle w:val="ListBullet"/>
      </w:pPr>
      <w:r>
        <w:t>KOF equity income contribution to FEMSA consolidated net income — the ~47% stake in KOF is the most important below-the-line item and is not disclosed separately in the structured financials provided</w:t>
      </w:r>
    </w:p>
    <w:p>
      <w:pPr>
        <w:pStyle w:val="ListBullet"/>
      </w:pPr>
      <w:r>
        <w:t>MXN/USD exchange rate assumptions embedded in the consensus revenue and EPS figures — the $895,283M consensus revenue vs $46,648M USD structured financials confirms a currency unit mismatch that makes direct comparison impossible without the FX rate</w:t>
      </w:r>
    </w:p>
    <w:p>
      <w:pPr>
        <w:pStyle w:val="ListBullet"/>
      </w:pPr>
      <w:r>
        <w:t>Full-year OXXO Brazil P&amp;L (revenues, gross margin, operating loss) — Q1 2026 showed two months of consolidation; the full-year drag is not disclosed</w:t>
      </w:r>
    </w:p>
    <w:p>
      <w:pPr>
        <w:pStyle w:val="ListBullet"/>
      </w:pPr>
      <w:r>
        <w:t>Colombia institutional business credit exposure beyond the Q4 2025 charge — management took a 487M peso charge for uncollectible accounts but did not disclose the total exposure or reserve adequacy</w:t>
      </w:r>
    </w:p>
    <w:p>
      <w:pPr>
        <w:pStyle w:val="ListBullet"/>
      </w:pPr>
      <w:r>
        <w:t>Composition of the extraordinary dividend (25.8 billion pesos) — whether this is funded from asset sale proceeds, operating cash flow, or debt, which affects the leverage trajectory and future capital return capacity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