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INTC — INTC</w:t>
      </w:r>
    </w:p>
    <w:p>
      <w:pPr>
        <w:pStyle w:val="SmallMeta"/>
      </w:pPr>
      <w:r>
        <w:t>As of 2026-06-21  |  Schema: general  |  Data: polygon+alpha_vantage (FY2025)</w:t>
      </w:r>
    </w:p>
    <w:p>
      <w:pPr>
        <w:pStyle w:val="SubHeading"/>
      </w:pPr>
      <w:r>
        <w:rPr>
          <w:color w:val="8C1D40"/>
        </w:rPr>
        <w:t>Direction: SHORT | Current: $133.99</w:t>
      </w:r>
    </w:p>
    <w:p>
      <w:pPr>
        <w:pStyle w:val="SubHeading"/>
      </w:pPr>
      <w:r>
        <w:t>Summary</w:t>
      </w:r>
    </w:p>
    <w:p>
      <w:pPr>
        <w:pStyle w:val="ListBullet"/>
      </w:pPr>
      <w:r>
        <w:t>Thesis: Consensus FY2026 EPS of $1.09 embeds an implausibly rapid gross margin recovery (from 34.8% GAAP in FY2025 to an implied ~42-44% non-GAAP equivalent) that is inconsistent with management's own Q2 guide of 39% non-GAAP gross margin and the structural drag from accelerating 18A ramp costs; simultaneously, the FY2027 EPS consensus of $1.55 assumes Intel Foundry losses narrow materially, but management's own commentary signals an intentional step-up in 14A investment costs that will offset yield-driven gross margin gains well into 2027.</w:t>
      </w:r>
    </w:p>
    <w:p>
      <w:pPr>
        <w:pStyle w:val="ListBullet"/>
      </w:pPr>
      <w:r>
        <w:t>Next catalyst: Next quarterly earnings report (2026-07-23 (32 days))</w:t>
      </w:r>
    </w:p>
    <w:p>
      <w:pPr>
        <w:pStyle w:val="ListBullet"/>
      </w:pPr>
      <w:r>
        <w:t>Top risk: Bull case assumes Intel Foundry losses narrow materially in FY2026-2027 as 18A yields improve and external customers ramp</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FY2026 Revenue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'semiconductors'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$0.21</w:t>
            </w:r>
          </w:p>
        </w:tc>
        <w:tc>
          <w:tcPr>
            <w:tcW w:type="dxa" w:w="1399"/>
            <w:tcBorders>
              <w:top w:val="single" w:sz="4" w:color="BDC3C7"/>
              <w:bottom w:val="single" w:sz="4" w:color="BDC3C7"/>
              <w:left w:val="single" w:sz="4" w:color="BDC3C7"/>
              <w:right w:val="single" w:sz="4" w:color="BDC3C7"/>
            </w:tcBorders>
          </w:tcPr>
          <w:p>
            <w:r>
              <w:t>$0.20 – $0.33</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+311.3%</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↑31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$0.27</w:t>
            </w:r>
          </w:p>
        </w:tc>
        <w:tc>
          <w:tcPr>
            <w:tcW w:type="dxa" w:w="1399"/>
            <w:tcBorders>
              <w:top w:val="single" w:sz="4" w:color="BDC3C7"/>
              <w:bottom w:val="single" w:sz="4" w:color="BDC3C7"/>
              <w:left w:val="single" w:sz="4" w:color="BDC3C7"/>
              <w:right w:val="single" w:sz="4" w:color="BDC3C7"/>
            </w:tcBorders>
          </w:tcPr>
          <w:p>
            <w:r>
              <w:t>$0.22 – $0.37</w:t>
            </w:r>
          </w:p>
        </w:tc>
        <w:tc>
          <w:tcPr>
            <w:tcW w:type="dxa" w:w="1399"/>
            <w:tcBorders>
              <w:top w:val="single" w:sz="4" w:color="BDC3C7"/>
              <w:bottom w:val="single" w:sz="4" w:color="BDC3C7"/>
              <w:left w:val="single" w:sz="4" w:color="BDC3C7"/>
              <w:right w:val="single" w:sz="4" w:color="BDC3C7"/>
            </w:tcBorders>
          </w:tcPr>
          <w:p>
            <w:r>
              <w:t>33</w:t>
            </w:r>
          </w:p>
        </w:tc>
        <w:tc>
          <w:tcPr>
            <w:tcW w:type="dxa" w:w="1399"/>
            <w:tcBorders>
              <w:top w:val="single" w:sz="4" w:color="BDC3C7"/>
              <w:bottom w:val="single" w:sz="4" w:color="BDC3C7"/>
              <w:left w:val="single" w:sz="4" w:color="BDC3C7"/>
              <w:right w:val="single" w:sz="4" w:color="BDC3C7"/>
            </w:tcBorders>
          </w:tcPr>
          <w:p>
            <w:r>
              <w:t>+16.3%</w:t>
            </w:r>
          </w:p>
        </w:tc>
        <w:tc>
          <w:tcPr>
            <w:tcW w:type="dxa" w:w="1399"/>
            <w:tcBorders>
              <w:top w:val="single" w:sz="4" w:color="BDC3C7"/>
              <w:bottom w:val="single" w:sz="4" w:color="BDC3C7"/>
              <w:left w:val="single" w:sz="4" w:color="BDC3C7"/>
              <w:right w:val="single" w:sz="4" w:color="BDC3C7"/>
            </w:tcBorders>
          </w:tcPr>
          <w:p>
            <w:r>
              <w:t>≈ +0.002</w:t>
            </w:r>
          </w:p>
        </w:tc>
        <w:tc>
          <w:tcPr>
            <w:tcW w:type="dxa" w:w="1399"/>
            <w:tcBorders>
              <w:top w:val="single" w:sz="4" w:color="BDC3C7"/>
              <w:bottom w:val="single" w:sz="4" w:color="BDC3C7"/>
              <w:left w:val="single" w:sz="4" w:color="BDC3C7"/>
              <w:right w:val="single" w:sz="4" w:color="BDC3C7"/>
            </w:tcBorders>
          </w:tcPr>
          <w:p>
            <w:r>
              <w:t>↑26 / ↓3</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$1.09</w:t>
            </w:r>
          </w:p>
        </w:tc>
        <w:tc>
          <w:tcPr>
            <w:tcW w:type="dxa" w:w="1399"/>
            <w:tcBorders>
              <w:top w:val="single" w:sz="4" w:color="BDC3C7"/>
              <w:bottom w:val="single" w:sz="4" w:color="BDC3C7"/>
              <w:left w:val="single" w:sz="4" w:color="BDC3C7"/>
              <w:right w:val="single" w:sz="4" w:color="BDC3C7"/>
            </w:tcBorders>
          </w:tcPr>
          <w:p>
            <w:r>
              <w:t>$0.95 – $1.39</w:t>
            </w:r>
          </w:p>
        </w:tc>
        <w:tc>
          <w:tcPr>
            <w:tcW w:type="dxa" w:w="1399"/>
            <w:tcBorders>
              <w:top w:val="single" w:sz="4" w:color="BDC3C7"/>
              <w:bottom w:val="single" w:sz="4" w:color="BDC3C7"/>
              <w:left w:val="single" w:sz="4" w:color="BDC3C7"/>
              <w:right w:val="single" w:sz="4" w:color="BDC3C7"/>
            </w:tcBorders>
          </w:tcPr>
          <w:p>
            <w:r>
              <w:t>40</w:t>
            </w:r>
          </w:p>
        </w:tc>
        <w:tc>
          <w:tcPr>
            <w:tcW w:type="dxa" w:w="1399"/>
            <w:tcBorders>
              <w:top w:val="single" w:sz="4" w:color="BDC3C7"/>
              <w:bottom w:val="single" w:sz="4" w:color="BDC3C7"/>
              <w:left w:val="single" w:sz="4" w:color="BDC3C7"/>
              <w:right w:val="single" w:sz="4" w:color="BDC3C7"/>
            </w:tcBorders>
          </w:tcPr>
          <w:p>
            <w:r>
              <w:t>+160.1%</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↑35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$1.55</w:t>
            </w:r>
          </w:p>
        </w:tc>
        <w:tc>
          <w:tcPr>
            <w:tcW w:type="dxa" w:w="1399"/>
            <w:tcBorders>
              <w:top w:val="single" w:sz="4" w:color="BDC3C7"/>
              <w:bottom w:val="single" w:sz="4" w:color="BDC3C7"/>
              <w:left w:val="single" w:sz="4" w:color="BDC3C7"/>
              <w:right w:val="single" w:sz="4" w:color="BDC3C7"/>
            </w:tcBorders>
          </w:tcPr>
          <w:p>
            <w:r>
              <w:t>$0.94 – $2.21</w:t>
            </w:r>
          </w:p>
        </w:tc>
        <w:tc>
          <w:tcPr>
            <w:tcW w:type="dxa" w:w="1399"/>
            <w:tcBorders>
              <w:top w:val="single" w:sz="4" w:color="BDC3C7"/>
              <w:bottom w:val="single" w:sz="4" w:color="BDC3C7"/>
              <w:left w:val="single" w:sz="4" w:color="BDC3C7"/>
              <w:right w:val="single" w:sz="4" w:color="BDC3C7"/>
            </w:tcBorders>
          </w:tcPr>
          <w:p>
            <w:r>
              <w:t>39</w:t>
            </w:r>
          </w:p>
        </w:tc>
        <w:tc>
          <w:tcPr>
            <w:tcW w:type="dxa" w:w="1399"/>
            <w:tcBorders>
              <w:top w:val="single" w:sz="4" w:color="BDC3C7"/>
              <w:bottom w:val="single" w:sz="4" w:color="BDC3C7"/>
              <w:left w:val="single" w:sz="4" w:color="BDC3C7"/>
              <w:right w:val="single" w:sz="4" w:color="BDC3C7"/>
            </w:tcBorders>
          </w:tcPr>
          <w:p>
            <w:r>
              <w:t>+41.6%</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↑7 / ↓0</w:t>
            </w:r>
          </w:p>
        </w:tc>
      </w:tr>
    </w:tbl>
    <w:p>
      <w:r>
        <w:t>Revenue consensus: Q $14.40B (+12.0%)  |  Q+1 $15.06B (+10.3%)  |  FY $58.71B (+11.1%)  |  FY+1 $65.34B (+11.3%)</w:t>
      </w:r>
    </w:p>
    <w:p>
      <w:r>
        <w:t>Price targets: Mean $94.14  |  Median $90.00  |  Range $45.00–$150.00  |  Current $133.99 (-29.7% to mean)</w:t>
      </w:r>
    </w:p>
    <w:p>
      <w:r>
        <w:t>Analyst ratings (n=48): Strong Buy 2 · Buy 11 · Hold 31 · Sell 2 · Strong Sell 2  ·  27% bullish</w:t>
      </w:r>
    </w:p>
    <w:p>
      <w:r>
        <w:t>Next earnings: 2026-07-23 (32d out)  ·  EPS $0.21 ($0.20–$0.33)  ·  Rev $14.40B</w:t>
      </w:r>
    </w:p>
    <w:p>
      <w:pPr>
        <w:pStyle w:val="SectionHeading"/>
      </w:pPr>
      <w:r>
        <w:t>1. Research Synthesis</w:t>
      </w:r>
    </w:p>
    <w:p>
      <w:r>
        <w:t>Intel's Q1 2026 print was genuinely strong on multiple dimensions, and the beat-and-raise pattern is real and consistent. Over the last six quarters, management has beaten the revenue guide midpoint every single quarter — Q1 2026 came in at $13.6B against a $12.2B midpoint guide, a $1.4B beat (11.5% above midpoint). Q4 2025 beat by roughly $400M, Q3 2025 beat by approximately $350M above the high end of guidance. The pattern is not noise — it reflects a supply-constrained business where management is deliberately guiding conservatively because they cannot fully predict how much incremental supply they will unlock within the quarter. CFO David Zinsner said explicitly on the Q1 2026 call: 'Revenue, gross margin, and earning per share were all above the high end of guidance, marking our sixth consecutive quarter of exceeding financial expectations.' This sandbagging pattern is the primary reason consensus EPS revisions are running 35 upgrades vs. 0 downgrades over the last 30 days — analysts are mechanically extrapolating the beat rate forward.</w:t>
      </w:r>
    </w:p>
    <w:p>
      <w:pPr>
        <w:pStyle w:val="ListBullet"/>
      </w:pPr>
      <w:r>
        <w:rPr>
          <w:i/>
        </w:rPr>
        <w:t>→ Research confirms: Intel Q1 2026 revenue of $13.6B confirmed across multiple sources; beat vs. $12.2B midpoint guidance by $1.4B (11.5% above midpoint) verified. (fool.com)</w:t>
      </w:r>
    </w:p>
    <w:p>
      <w:r>
        <w:t>However, the critical analytical question is whether the beat rate can sustain at the same magnitude as the supply ramp matures. Management's own language on the Q1 2026 call contains a subtle but important signal: 'we expect our factory network to continue increasing available supply in the third and fourth quarters, though at a more measured pace than we anticipated 90 days ago.' This is a direct downward revision to the supply ramp trajectory — 90 days ago (the Q4 2025 call), management was more optimistic about H2 2026 supply growth. The phrase 'more measured pace' is the kind of language drift that single-quarter analysts miss when they hear each call in isolation. On the Q4 2025 call, the framing was 'we expect our factory network to continue increasing available supply' without the 'more measured pace' qualifier. This is a one-quarter softening that has not been priced into the consensus beat-rate assumption.</w:t>
      </w:r>
    </w:p>
    <w:p>
      <w:pPr>
        <w:pStyle w:val="ListBullet"/>
      </w:pPr>
      <w:r>
        <w:rPr>
          <w:i/>
        </w:rPr>
        <w:t>→ Research confirms: CFO Zinsner's Q1 2026 earnings call statement directly confirms the verbatim quote about factory supply increasing at a more measured pace than anticipated 90 days prior, attributed to stronger-than-expected first-half output. (yahoo.com)</w:t>
      </w:r>
    </w:p>
    <w:p>
      <w:pPr>
        <w:pStyle w:val="ListBullet"/>
      </w:pPr>
      <w:r>
        <w:rPr>
          <w:i/>
        </w:rPr>
        <w:t>→ Research: Tan's Cadence tenure (2009–2021) demonstrates proven turnaround execution: revenue doubled, stock returned 3,200%+, and he transformed a distressed company into an EDA leader. Early Intel foundry results (18A yield stabilization, Google TPU order, Apple/TeraFab deals) validate his playbook application, though foundry execution risk remains material. (intc.com)</w:t>
      </w:r>
    </w:p>
    <w:p>
      <w:r>
        <w:t>The gross margin trajectory is where the edge is sharpest. The structured financials show FY2025 GAAP gross margin of 34.8% on $52.9B revenue. Management reported Q1 2026 non-GAAP gross margin of 41% — a 650bps beat vs. guidance — and guided Q2 2026 non-GAAP gross margin of 39%, explicitly citing 'meaningfully larger contribution from Intel 18A, still early in its ramp, and some inventory benefits in Q1 that aren't expected to repeat in Q2.' The GAAP-to-non-GAAP reconciliation matters here: the FY2025 GAAP gross margin of 34.8% compares to management's cited non-GAAP full-year gross margin of 36.7% (from the Q4 2025 call: 'Full year non-GAAP gross margin was 36.7%'). The gap is approximately 190bps, driven primarily by stock-based compensation and restructuring charges allocated to COGS. For FY2026, if Q1 non-GAAP was 41% and Q2 is guided at 39%, the H1 non-GAAP average is approximately 40%. For consensus FY2026 EPS of $1.09 to be achievable, H2 non-GAAP gross margin would need to average approximately 43-45% — a 300-500bps step-up from Q2 guidance. Management's 'more measured pace' supply ramp language directly challenges this assumption.</w:t>
      </w:r>
    </w:p>
    <w:p>
      <w:pPr>
        <w:pStyle w:val="ListBullet"/>
      </w:pPr>
      <w:r>
        <w:rPr>
          <w:i/>
        </w:rPr>
        <w:t>→ Research confirms: Intel FY2025 GAAP gross margin of 34.8% on $52.9B revenue confirmed by SEC 10-K filing and multiple financial sources. The 190bps gap to non-GAAP margin (36.7%) is correctly anchored. (sec.gov)</w:t>
      </w:r>
    </w:p>
    <w:p>
      <w:r>
        <w:t>The Intel Foundry segment is the structural drag that consensus is underweighting for FY2027. In Q1 2026, Intel Foundry operating loss was $2.4B — an improvement of only $72M quarter-over-quarter despite better yields on Intel 4, 3, and 18A. The reason: 'mostly offset by increased operating expenses associated with an intentional step up in Intel 14A investments to support both internal and external customer evaluations.' Management is explicitly telling investors that 14A investment costs are rising intentionally, and that this will continue as they pursue external foundry customer commitments. On the Q4 2025 call, management said: 'it does not make sense to build out significant capacity there until we know that we have the customers that will accept that demand' — but simultaneously, the Q1 2026 call reveals they are already stepping up 14A OpEx for customer evaluations. This creates a multi-quarter cost overhang: Intel Foundry will be spending on 14A evaluations throughout 2026 and into 2027 before any revenue materializes, since management guided that committed demand 'will begin to convert to revenue in 2027.' The FY2027 consensus EPS of $1.55 (+41.6% YoY) implicitly assumes Intel Foundry losses narrow materially in 2027, but the 14A investment step-up suggests losses could remain elevated or worsen before improving.</w:t>
      </w:r>
    </w:p>
    <w:p>
      <w:pPr>
        <w:pStyle w:val="ListBullet"/>
      </w:pPr>
      <w:r>
        <w:rPr>
          <w:i/>
        </w:rPr>
        <w:t>→ Research confirms: SEC 10-Q and earnings transcripts confirm Intel Foundry Q1 2026 operating loss of $2.4B with $72M QoQ improvement driven by better yields on Intel 4, 3, and 18A nodes. (sec.gov)</w:t>
      </w:r>
    </w:p>
    <w:p>
      <w:r>
        <w:t>The Apple-Intel partnership headline (confirmed by Trump on June 20, 2026, per Yahoo Finance: 'Trump Confirms Apple Has Agreed To Build Chips With Intel') is the most significant near-term catalyst, but it is also the most analytically uncertain. Management has made zero reference to any Apple partnership in any of the three quarters of transcripts provided — this is a [SILENCE] flag from the social topic analysis. The economic substance matters enormously: Apple's A-series chips are currently manufactured by TSMC on N3 and N2 nodes. For Intel to capture Apple wafer volume, it would need to demonstrate 18A or 14A yield and performance parity with TSMC N3/N2 — a bar that has not been publicly validated. External foundry revenue in Q1 2026 was only $174M (down from $222M in Q4 2025), suggesting the pipeline has not yet converted to meaningful volume. If the Apple deal is real but limited to a specific product line (e.g., a Wi-Fi chip or a non-leading-edge component rather than the A-series SoC), the revenue impact would be modest relative to the stock's implied pricing. The retail community on StockTwits is explicitly debating this: 'why apple nd intel haven't confirmed the deal news yet, cause its fake trump pump.' Until Intel management confirms the deal and provides revenue timing, this should be treated as a speculative catalyst with high variance.</w:t>
      </w:r>
    </w:p>
    <w:p>
      <w:pPr>
        <w:pStyle w:val="ListBullet"/>
      </w:pPr>
      <w:r>
        <w:rPr>
          <w:i/>
        </w:rPr>
        <w:t>→ Research: Intel has signed only Microsoft and Amazon to 18A commitments; no external customers have formally committed to 18A as of June 2026. Firm 14A commitments expected H2 2026–H1 2027. Critical gap: Apple engagement ongoing but unconfirmed; Nvidia collaboration announced but foundry signals mixed. (sec.gov)</w:t>
      </w:r>
    </w:p>
    <w:p>
      <w:r>
        <w:t>On the macro side, the PPI (all commodities) running at +13.1% YoY (FRED, as of May 2026) is a direct input cost pressure for Intel's manufacturing operations — wafers, substrates, and memory are all commodity-adjacent inputs. Management acknowledged on the Q1 2026 call: 'constraints and rising prices around key components like memory, wafers, and substrates' are shaping customer behavior. This is consistent with the PPI signal and suggests gross margin expansion in H2 2026 faces a cost headwind that consensus models may not fully capture. Consumer sentiment at 49.8 (University of Michigan, April 2026, down 4.6% YoY) is a secondary concern for the CCG (client PC) segment — a deteriorating consumer confidence environment historically pressures PC TAM, though Intel's current supply constraint means demand is not the binding constraint for CCG in the near term.</w:t>
      </w:r>
    </w:p>
    <w:p>
      <w:r>
        <w:t>The insider activity provides a mixed but net-cautionary signal. The Chief Legal Officer sold $4.99M (36.4% of her stake) at an average price of $82.77 between February and May 2026. The EVP of Foundry sold $2.49M (9.3% of stake) at $118.28 on May 29, 2026 — notably, this sale occurred after the stock had already appreciated significantly, suggesting the Foundry executive was taking profits at elevated levels. Against this, CFO David Zinsner bought $250K at $42.50 in January 2026 — a small but directionally positive signal at a much lower price. The net read: insiders were buyers at $42 and sellers at $83-118, which is rational profit-taking but not a strong vote of confidence at current elevated prices (StockTwits references $140 as the current trading level, implying the stock has roughly tripled from Zinsner's purchase price).</w:t>
      </w:r>
    </w:p>
    <w:p>
      <w:pPr>
        <w:pStyle w:val="ListBullet"/>
      </w:pPr>
      <w:r>
        <w:rPr>
          <w:i/>
        </w:rPr>
        <w:t>→ Research [CONTRADICTS]: Form 4 filings confirm CLO April Boise sold 40,256 shares on May 1, 2026, at $99.526 average price (~$4M total), reducing ownership by 27.70%—not 36.4%. No February sales found; only February 19 ESPP purchase of 561 shares and February 2 sale of 20,000 shares at $49.05. (stocktitan.net)</w:t>
      </w:r>
    </w:p>
    <w:p>
      <w:r>
        <w:t>Synthesizing the evidence: the bull case for FY2026 EPS of $1.09 requires H2 gross margin expansion to 43-45% non-GAAP that is inconsistent with management's Q2 guide of 39% and the 'more measured pace' supply ramp language. Our FY2026 EPS estimate of approximately $0.75-0.80 (non-GAAP basis) reflects: Q1 actual of $0.29, Q2 guided at $0.20 midpoint, and H2 at approximately $0.13-0.15/quarter on a GAAP basis (given D&amp;A of ~$11.7B annually = ~$2.9B/quarter, which alone exceeds operating income in most quarters). The FY2027 consensus of $1.55 is even more vulnerable — it requires Intel Foundry losses to narrow by $1B+ annually while 14A investment costs are explicitly stepping up. The structural case for Intel is real (supply-constrained demand, 18A yield progress, potential Apple partnership), but the timeline for margin normalization is longer than consensus assumes.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$0.21</w:t>
            </w:r>
          </w:p>
        </w:tc>
        <w:tc>
          <w:tcPr>
            <w:tcW w:type="dxa" w:w="3264"/>
            <w:tcBorders>
              <w:top w:val="single" w:sz="4" w:color="BDC3C7"/>
              <w:bottom w:val="single" w:sz="4" w:color="BDC3C7"/>
              <w:left w:val="single" w:sz="4" w:color="BDC3C7"/>
              <w:right w:val="single" w:sz="4" w:color="BDC3C7"/>
            </w:tcBorders>
          </w:tcPr>
          <w:p>
            <w:r>
              <w:t>$14,404M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$0.27</w:t>
            </w:r>
          </w:p>
        </w:tc>
        <w:tc>
          <w:tcPr>
            <w:tcW w:type="dxa" w:w="3264"/>
            <w:tcBorders>
              <w:top w:val="single" w:sz="4" w:color="BDC3C7"/>
              <w:bottom w:val="single" w:sz="4" w:color="BDC3C7"/>
              <w:left w:val="single" w:sz="4" w:color="BDC3C7"/>
              <w:right w:val="single" w:sz="4" w:color="BDC3C7"/>
            </w:tcBorders>
          </w:tcPr>
          <w:p>
            <w:r>
              <w:t>$15,058M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$1.09</w:t>
            </w:r>
          </w:p>
        </w:tc>
        <w:tc>
          <w:tcPr>
            <w:tcW w:type="dxa" w:w="3264"/>
            <w:tcBorders>
              <w:top w:val="single" w:sz="4" w:color="BDC3C7"/>
              <w:bottom w:val="single" w:sz="4" w:color="BDC3C7"/>
              <w:left w:val="single" w:sz="4" w:color="BDC3C7"/>
              <w:right w:val="single" w:sz="4" w:color="BDC3C7"/>
            </w:tcBorders>
          </w:tcPr>
          <w:p>
            <w:r>
              <w:t>$58,714M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$1.55</w:t>
            </w:r>
          </w:p>
        </w:tc>
        <w:tc>
          <w:tcPr>
            <w:tcW w:type="dxa" w:w="3264"/>
            <w:tcBorders>
              <w:top w:val="single" w:sz="4" w:color="BDC3C7"/>
              <w:bottom w:val="single" w:sz="4" w:color="BDC3C7"/>
              <w:left w:val="single" w:sz="4" w:color="BDC3C7"/>
              <w:right w:val="single" w:sz="4" w:color="BDC3C7"/>
            </w:tcBorders>
          </w:tcPr>
          <w:p>
            <w:r>
              <w:t>$65,341M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$1.09</w:t>
            </w:r>
          </w:p>
        </w:tc>
        <w:tc>
          <w:tcPr>
            <w:tcW w:type="dxa" w:w="1632"/>
            <w:tcBorders>
              <w:top w:val="single" w:sz="4" w:color="BDC3C7"/>
              <w:bottom w:val="single" w:sz="4" w:color="BDC3C7"/>
              <w:left w:val="single" w:sz="4" w:color="BDC3C7"/>
              <w:right w:val="single" w:sz="4" w:color="BDC3C7"/>
            </w:tcBorders>
          </w:tcPr>
          <w:p>
            <w:r>
              <w:t>+78.0%</w:t>
            </w:r>
          </w:p>
        </w:tc>
        <w:tc>
          <w:tcPr>
            <w:tcW w:type="dxa" w:w="1632"/>
            <w:tcBorders>
              <w:top w:val="single" w:sz="4" w:color="BDC3C7"/>
              <w:bottom w:val="single" w:sz="4" w:color="BDC3C7"/>
              <w:left w:val="single" w:sz="4" w:color="BDC3C7"/>
              <w:right w:val="single" w:sz="4" w:color="BDC3C7"/>
            </w:tcBorders>
          </w:tcPr>
          <w:p>
            <w:r>
              <w:t>-0.31</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$1.55</w:t>
            </w:r>
          </w:p>
        </w:tc>
        <w:tc>
          <w:tcPr>
            <w:tcW w:type="dxa" w:w="1632"/>
            <w:tcBorders>
              <w:top w:val="single" w:sz="4" w:color="BDC3C7"/>
              <w:bottom w:val="single" w:sz="4" w:color="BDC3C7"/>
              <w:left w:val="single" w:sz="4" w:color="BDC3C7"/>
              <w:right w:val="single" w:sz="4" w:color="BDC3C7"/>
            </w:tcBorders>
          </w:tcPr>
          <w:p>
            <w:r>
              <w:t>$1.05</w:t>
            </w:r>
          </w:p>
        </w:tc>
        <w:tc>
          <w:tcPr>
            <w:tcW w:type="dxa" w:w="1632"/>
            <w:tcBorders>
              <w:top w:val="single" w:sz="4" w:color="BDC3C7"/>
              <w:bottom w:val="single" w:sz="4" w:color="BDC3C7"/>
              <w:left w:val="single" w:sz="4" w:color="BDC3C7"/>
              <w:right w:val="single" w:sz="4" w:color="BDC3C7"/>
            </w:tcBorders>
          </w:tcPr>
          <w:p>
            <w:r>
              <w:t>-0.50</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Consensus FY2026 EPS of $1.09 requires H2 2026 non-GAAP gross margin of ~43-45%, but management guided Q2 at 39% and explicitly flagged 'more measured pace' of supply ramp vs. 90 days ago — the beat-rate extrapolation overstates H2 margin recovery given accelerating 18A ramp costs and the absence of Q1's one-time inventory benefits.</w:t>
      </w:r>
    </w:p>
    <w:p>
      <w:r>
        <w:t>Street anchor: $1.09 (yfinance consensus FY2026) → Our view: +78.0%</w:t>
      </w:r>
    </w:p>
    <w:p>
      <w:pPr>
        <w:pStyle w:val="PullQuote"/>
      </w:pPr>
      <w:r>
        <w:t>“Our Q2 gross margin guide declines modestly from Q1 due to a meaningfully larger contribution from Intel 18A, still early in its ramp, and some inventory benefits in Q1 that aren't expected to repeat in Q2.”  (transcript)</w:t>
      </w:r>
    </w:p>
    <w:p>
      <w:pPr>
        <w:pStyle w:val="PullQuote"/>
      </w:pPr>
      <w:r>
        <w:t>“we expect our factory network to continue increasing available supply in the third and fourth quarters, though at a more measured pace than we anticipated 90 days ago”  (transcript)</w:t>
      </w:r>
    </w:p>
    <w:p>
      <w:pPr>
        <w:pStyle w:val="PullQuote"/>
      </w:pPr>
      <w:r>
        <w:t>“At the midpoint of $14.3 billion, we forecast a gross margin of 39%, a tax rate of 11%, an EPS of 20 cents, all on a non-GAAP basis.”  (transcript)</w:t>
      </w:r>
    </w:p>
    <w:p>
      <w:r>
        <w:t>Why not consensus: Sell-side analysts are mechanically extrapolating the 6-quarter beat-and-raise pattern (35 upgrades, 0 downgrades in 30 days) without reconciling the Q2 gross margin guide of 39% against the H2 margin level required to hit $1.09 FY EPS; the 'more measured pace' supply ramp qualifier on the Q1 call is a one-quarter language softening that single-quarter analysts miss when they don't track multi-quarter drift.</w:t>
      </w:r>
    </w:p>
    <w:p>
      <w:pPr>
        <w:pStyle w:val="KillCriteria"/>
      </w:pPr>
      <w:r>
        <w:t>Falsifier: If Q2 2026 non-GAAP gross margin prints above 41% and management raises H2 gross margin guidance explicitly above 42%, the H2 recovery path becomes credible and our below-consensus view is wrong.</w:t>
      </w:r>
    </w:p>
    <w:p>
      <w:pPr>
        <w:pStyle w:val="SubHeading"/>
      </w:pPr>
      <w:r>
        <w:t>Claim 2 — consensus_next_fy_eps</w:t>
      </w:r>
    </w:p>
    <w:p>
      <w:r>
        <w:t>FY2027 consensus EPS of $1.55 implicitly requires Intel Foundry operating losses to narrow by $800M-$1B+ annually, but management's own Q1 2026 commentary reveals an 'intentional step up in Intel 14A investments' that is already offsetting yield-driven gross margin gains — and committed foundry demand 'will begin to convert to revenue in 2027,' meaning 14A costs precede 14A revenue by multiple quarters.</w:t>
      </w:r>
    </w:p>
    <w:p>
      <w:r>
        <w:t>Street anchor: $1.55 (yfinance consensus FY2027) → Our view: $1.05</w:t>
      </w:r>
    </w:p>
    <w:p>
      <w:pPr>
        <w:pStyle w:val="PullQuote"/>
      </w:pPr>
      <w:r>
        <w:t>“Intel foundry operating loss in Q1 was $2.4 billion and improved $72 million quarter over quarter as better yields across Intel 4, 3, and 18A drove higher gross margins. This was mostly offset by increased operating expenses associated with an intentional step up in Intel 14A inv”  (transcript)</w:t>
      </w:r>
    </w:p>
    <w:p>
      <w:pPr>
        <w:pStyle w:val="PullQuote"/>
      </w:pPr>
      <w:r>
        <w:t>“Turning to all other, revenue came in at $628 million and was up 9% sequentially due to a strong quarter for Mobileye. Collectively, the category delivered an operating profit of $102 million. Now turning to guidance... support the committed demand that will begin to convert to r”  (transcript)</w:t>
      </w:r>
    </w:p>
    <w:p>
      <w:pPr>
        <w:pStyle w:val="PullQuote"/>
      </w:pPr>
      <w:r>
        <w:t>“it does not make sense to build out significant capacity there until we know that we have the customers that will accept that demand”  (transcript)</w:t>
      </w:r>
    </w:p>
    <w:p>
      <w:r>
        <w:t>Why not consensus: FY2027 consensus models assume Intel Foundry losses narrow as 18A scales and external customers ramp, but analysts are not tracking the explicit management signal that 14A investment costs are stepping up NOW (Q1 2026) and will continue through 2026 before any 14A revenue materializes in 2027 — the cost curve precedes the revenue curve by 4-6 quarters, creating a J-curve that consensus is modeling as a straight-line improvement.</w:t>
      </w:r>
    </w:p>
    <w:p>
      <w:pPr>
        <w:pStyle w:val="KillCriteria"/>
      </w:pPr>
      <w:r>
        <w:t>Falsifier: If Intel announces a named, large-volume external foundry customer (e.g., Apple A-series or a major fabless customer committing &gt;$1B in annual wafer revenue) with a 2026 start date, the 14A investment costs become revenue-backed and the FY2027 loss-narrowing thesis becomes credible.</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FY2026 Revenue Growth</w:t>
            </w:r>
          </w:p>
        </w:tc>
        <w:tc>
          <w:tcPr>
            <w:tcW w:type="dxa" w:w="2448"/>
            <w:tcBorders>
              <w:top w:val="single" w:sz="4" w:color="BDC3C7"/>
              <w:bottom w:val="single" w:sz="4" w:color="BDC3C7"/>
              <w:left w:val="single" w:sz="4" w:color="BDC3C7"/>
              <w:right w:val="single" w:sz="4" w:color="BDC3C7"/>
            </w:tcBorders>
          </w:tcPr>
          <w:p>
            <w:r>
              <w:rPr>
                <w:b/>
              </w:rPr>
              <w:t>+28.80%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CCG (Client Computing) growth</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CCG revenue in Q1 2026 was $7.7B (down 6% sequentially from Q4 2025's $8.2B), but management noted demand continues to outstrip supply and AIPC revenue grew 8% sequentially, now representing &gt;60% of client CPU mix. On th</w:t>
            </w:r>
          </w:p>
        </w:tc>
      </w:tr>
      <w:tr>
        <w:tc>
          <w:tcPr>
            <w:tcW w:type="dxa" w:w="2448"/>
            <w:tcBorders>
              <w:top w:val="single" w:sz="4" w:color="BDC3C7"/>
              <w:bottom w:val="single" w:sz="4" w:color="BDC3C7"/>
              <w:left w:val="single" w:sz="4" w:color="BDC3C7"/>
              <w:right w:val="single" w:sz="4" w:color="BDC3C7"/>
            </w:tcBorders>
          </w:tcPr>
          <w:p>
            <w:r>
              <w:t xml:space="preserve">    DCAI (Data Center &amp; AI) growth</w:t>
            </w:r>
          </w:p>
        </w:tc>
        <w:tc>
          <w:tcPr>
            <w:tcW w:type="dxa" w:w="2448"/>
            <w:tcBorders>
              <w:top w:val="single" w:sz="4" w:color="BDC3C7"/>
              <w:bottom w:val="single" w:sz="4" w:color="BDC3C7"/>
              <w:left w:val="single" w:sz="4" w:color="BDC3C7"/>
              <w:right w:val="single" w:sz="4" w:color="BDC3C7"/>
            </w:tcBorders>
          </w:tcPr>
          <w:p>
            <w:r>
              <w:t>+10.80%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DCAI revenue was $5.1B in Q1 2026, up 7% sequentially and 22% YoY — management called this 'well above expectations and reinforcing the strong year of growth for DCAI we signaled 90 days ago.' ASIC revenue grew &gt;30% sequ</w:t>
            </w:r>
          </w:p>
        </w:tc>
      </w:tr>
      <w:tr>
        <w:tc>
          <w:tcPr>
            <w:tcW w:type="dxa" w:w="2448"/>
            <w:tcBorders>
              <w:top w:val="single" w:sz="4" w:color="BDC3C7"/>
              <w:bottom w:val="single" w:sz="4" w:color="BDC3C7"/>
              <w:left w:val="single" w:sz="4" w:color="BDC3C7"/>
              <w:right w:val="single" w:sz="4" w:color="BDC3C7"/>
            </w:tcBorders>
          </w:tcPr>
          <w:p>
            <w:r>
              <w:t xml:space="preserve">    Intel Foundry revenue growth</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Intel Foundry revenue was $5.4B in Q1 2026, up 20% sequentially from Q4 2025's $4.5B, driven by increased EUV wafer mix and 18A ramp. External foundry revenue was only $174M in Q1 2026, down from $222M in Q4 2025. The in</w:t>
            </w:r>
          </w:p>
        </w:tc>
      </w:tr>
    </w:tbl>
    <w:p>
      <w:pPr>
        <w:pStyle w:val="SubHeading"/>
      </w:pPr>
      <w:r>
        <w:t>Bear revisions:</w:t>
      </w:r>
    </w:p>
    <w:p>
      <w:pPr>
        <w:pStyle w:val="ListBullet"/>
      </w:pPr>
      <w:r>
        <w:t>FY2026 Revenue Growth.DCAI (Data Center &amp; AI) growth: 18.0 → 10.0 — If the supply ramp proceeds at the 'more measured pace' management flagged and component shortages (substrates, memory) persist through H2 2026, DCAI growth could decelerate from the 22% YoY pace in Q1 2026 to ~10% for the full year — consistent with the supply-constrained environment management described on the Q3 2025 call where 'shortage is pretty much across our business.'</w:t>
      </w:r>
    </w:p>
    <w:p>
      <w:pPr>
        <w:pStyle w:val="SubHeading"/>
      </w:pPr>
      <w:r>
        <w:t>Comp decomposition check:</w:t>
      </w:r>
    </w:p>
    <w:p>
      <w:pPr>
        <w:pStyle w:val="ListBullet"/>
      </w:pPr>
      <w:r>
        <w:t>Schema mismatch: peer comps fit 'semiconductors'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SectionHeading"/>
      </w:pPr>
      <w:r>
        <w:t>3. Consensus Gap &amp; Valuation</w:t>
      </w:r>
    </w:p>
    <w:p>
      <w:r>
        <w:t>Our EPS: $0.78  =  baseline $1.09  +  Σ claim impacts $-0.31 (28.4% below consensus $1.09)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$1.09</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$1.09 → +78.0% (Δ -31.0%)</w:t>
            </w:r>
          </w:p>
        </w:tc>
        <w:tc>
          <w:tcPr>
            <w:tcW w:type="dxa" w:w="2448"/>
            <w:tcBorders>
              <w:top w:val="single" w:sz="4" w:color="BDC3C7"/>
              <w:bottom w:val="single" w:sz="4" w:color="BDC3C7"/>
              <w:left w:val="single" w:sz="4" w:color="BDC3C7"/>
              <w:right w:val="single" w:sz="4" w:color="BDC3C7"/>
            </w:tcBorders>
          </w:tcPr>
          <w:p>
            <w:r>
              <w:t>Direct EPS delta: $-0.31/share</w:t>
            </w:r>
          </w:p>
        </w:tc>
        <w:tc>
          <w:tcPr>
            <w:tcW w:type="dxa" w:w="2448"/>
            <w:tcBorders>
              <w:top w:val="single" w:sz="4" w:color="BDC3C7"/>
              <w:bottom w:val="single" w:sz="4" w:color="BDC3C7"/>
              <w:left w:val="single" w:sz="4" w:color="BDC3C7"/>
              <w:right w:val="single" w:sz="4" w:color="BDC3C7"/>
            </w:tcBorders>
          </w:tcPr>
          <w:p>
            <w:r>
              <w:t>-0.31</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-0.31</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$0.78</w:t>
            </w:r>
          </w:p>
        </w:tc>
      </w:tr>
    </w:tbl>
    <w:p>
      <w:pPr>
        <w:pStyle w:val="PullQuote"/>
      </w:pPr>
      <w:r>
        <w:t xml:space="preserve">  ⚠ 1 claim(s) target a different fiscal period than the current_fy baseline and weren't summed: consensus_next_fy_eps</w:t>
      </w:r>
    </w:p>
    <w:p>
      <w:r>
        <w:t>Our estimate is $0.31 (28.4%) below consensus $1.09. No single driver within plausible bounds can close the gap to consensus when other drivers are held at our values; the EPS variant is diffuse (top magnitude: FY2026 Revenue Growth.CCG (Client Computing) growth). Variant appears NOT fully priced in based on available market data. Next catalyst: Next quarterly earnings report (2026-07-23 (32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FY2026 Revenue Growth.CCG (Client Computing) growth</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+3.00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FY2026 Revenue Growth.DCAI (Data Center &amp; AI) growth</w:t>
            </w:r>
          </w:p>
        </w:tc>
        <w:tc>
          <w:tcPr>
            <w:tcW w:type="dxa" w:w="1958"/>
            <w:tcBorders>
              <w:top w:val="single" w:sz="4" w:color="BDC3C7"/>
              <w:bottom w:val="single" w:sz="4" w:color="BDC3C7"/>
              <w:left w:val="single" w:sz="4" w:color="BDC3C7"/>
              <w:right w:val="single" w:sz="4" w:color="BDC3C7"/>
            </w:tcBorders>
          </w:tcPr>
          <w:p>
            <w:r>
              <w:t>+10.80</w:t>
            </w:r>
          </w:p>
        </w:tc>
        <w:tc>
          <w:tcPr>
            <w:tcW w:type="dxa" w:w="1958"/>
            <w:tcBorders>
              <w:top w:val="single" w:sz="4" w:color="BDC3C7"/>
              <w:bottom w:val="single" w:sz="4" w:color="BDC3C7"/>
              <w:left w:val="single" w:sz="4" w:color="BDC3C7"/>
              <w:right w:val="single" w:sz="4" w:color="BDC3C7"/>
            </w:tcBorders>
          </w:tcPr>
          <w:p>
            <w:r>
              <w:t>+10.80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FY2026 Revenue Growth.Intel Foundry revenue 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+0.000</w:t>
            </w:r>
          </w:p>
        </w:tc>
        <w:tc>
          <w:tcPr>
            <w:tcW w:type="dxa" w:w="1958"/>
            <w:tcBorders>
              <w:top w:val="single" w:sz="4" w:color="BDC3C7"/>
              <w:bottom w:val="single" w:sz="4" w:color="BDC3C7"/>
              <w:left w:val="single" w:sz="4" w:color="BDC3C7"/>
              <w:right w:val="single" w:sz="4" w:color="BDC3C7"/>
            </w:tcBorders>
          </w:tcPr>
          <w:p>
            <w:r>
              <w:t>0.30</w:t>
            </w:r>
          </w:p>
        </w:tc>
      </w:tr>
    </w:tbl>
    <w:p>
      <w:r>
        <w:t>Priced in: not fully — Variant (-28.4%) exceeds implied move (6.8%)</w:t>
      </w:r>
    </w:p>
    <w:p>
      <w:r>
        <w:t>Edge verdict: ACTIONABLE_EDGE (score 0.280).</w:t>
      </w:r>
    </w:p>
    <w:p>
      <w:pPr>
        <w:pStyle w:val="SectionHeading"/>
      </w:pPr>
      <w:r>
        <w:t>4. Catalysts</w:t>
      </w:r>
    </w:p>
    <w:p>
      <w:pPr>
        <w:pStyle w:val="ListBullet"/>
      </w:pPr>
      <w:r>
        <w:t>Next quarterly earnings report (2026-07-23 (32 days)) — resolves revenue + margins + guidance; confirms or challenges</w:t>
      </w:r>
    </w:p>
    <w:p>
      <w:pPr>
        <w:pStyle w:val="ListBullet"/>
      </w:pPr>
      <w:r>
        <w:t>Resolution: Bull case assumes Intel Foundry losses narrow materially in FY2026-2027 as 18A y (Multi-year thesis -- patience required) — resolves Gross Margin Trajectory; confirms or challenges</w:t>
      </w:r>
    </w:p>
    <w:p>
      <w:pPr>
        <w:pStyle w:val="ListBullet"/>
      </w:pPr>
      <w:r>
        <w:t>Resolution: Bull case assumes H2 2026 revenue acceleration to ~$15.4B/quarter based on suppl (Multi-year thesis -- patience required) — resolves FY2026 Revenue Growth; confirms or challenges</w:t>
      </w:r>
    </w:p>
    <w:p>
      <w:pPr>
        <w:pStyle w:val="ListBullet"/>
      </w:pPr>
      <w:r>
        <w:t>Resolution: Apple-Intel foundry partnership represents a major FY2026-2027 revenue catalyst (Resolves at earnings (2026-07-23)) — resolves Intel Foundry revenue growth; confirms or challenges</w:t>
      </w:r>
    </w:p>
    <w:p>
      <w:pPr>
        <w:pStyle w:val="ListBullet"/>
      </w:pPr>
      <w:r>
        <w:t>No formal management guidance for FY2026 full-year revenue or gross margin was extractable — all for (Unknown timing) — resolves multiple; resolves uncertainty</w:t>
      </w:r>
    </w:p>
    <w:p>
      <w:pPr>
        <w:pStyle w:val="ListBullet"/>
      </w:pPr>
      <w:r>
        <w:t>Apple-Intel foundry partnership: no commercial terms, product scope, volume, pricing, or timeline ha (Unknown timing) — resolves multiple; resolves uncertainty</w:t>
      </w:r>
    </w:p>
    <w:p>
      <w:pPr>
        <w:pStyle w:val="SectionHeading"/>
      </w:pPr>
      <w:r>
        <w:t>5. Risks, Blind Spots &amp; Kill Criteria</w:t>
      </w:r>
    </w:p>
    <w:p>
      <w:pPr>
        <w:pStyle w:val="SubHeading"/>
      </w:pPr>
      <w:r>
        <w:t>Top risks:</w:t>
      </w:r>
    </w:p>
    <w:p>
      <w:pPr>
        <w:pStyle w:val="ListBullet"/>
      </w:pPr>
      <w:r>
        <w:t>Bull case assumes Intel Foundry losses narrow materially in FY2026-2027 as 18A yields improve and external customers ramp — counter: Q1 2026 Intel Foundry operating loss was $2.4B — only $72M better QoQ despite yield improvements on Intel 4, 3, and 18A — because the improvement was 'mostly offset by increased operating expenses associated with an intentional step up in Intel 14A investments.' Management confirmed on the Q4 2025 call that committed foundry demand 'will begin to convert to revenue in 2027,' meaning 14A costs precede 14A revenue by multiple quarters. External foundry revenue was only $174M in Q1 2026, down from $222M in Q4 2025. [serious]</w:t>
      </w:r>
    </w:p>
    <w:p>
      <w:pPr>
        <w:pStyle w:val="ListBullet"/>
      </w:pPr>
      <w:r>
        <w:t>Bull case assumes H2 2026 revenue acceleration to ~$15.4B/quarter based on supply ramp momentum — counter: Management explicitly downgraded the supply ramp outlook on the Q1 2026 call: 'we expect our factory network to continue increasing available supply in the third and fourth quarters, though at a more measured pace than we anticipated 90 days ago.' This is a direct revision vs. the Q4 2025 call language, which did not include the 'more measured pace' qualifier. Component cost inflation (memory, wafers, substrates) is cited as a constraining factor. [serious]</w:t>
      </w:r>
    </w:p>
    <w:p>
      <w:pPr>
        <w:pStyle w:val="ListBullet"/>
      </w:pPr>
      <w:r>
        <w:t>Apple-Intel foundry partnership represents a major FY2026-2027 revenue catalyst — counter: Management has made zero reference to any Apple partnership in any of the three quarters of transcripts provided. External foundry revenue was only $174M in Q1 2026 (down from $222M in Q4 2025). The Trump confirmation on June 20, 2026 is a political statement, not a commercial contract disclosure. Any Apple A-series chip production would require 18A or 14A yield parity with TSMC N3/N2 — a bar not publicly validated. Revenue from any Apple deal would be a 2027+ event at earliest. [moderate]</w:t>
      </w:r>
    </w:p>
    <w:p>
      <w:pPr>
        <w:pStyle w:val="ListBullet2"/>
      </w:pPr>
      <w:r>
        <w:rPr>
          <w:i/>
        </w:rPr>
        <w:t>→ Research [UPDATES]: Trump confirmed the Apple-Intel deal on June 18, 2026 (not June 20 as stated in brief). Multiple sources confirm the announcement via Truth Social post on Thursday, June 18, with stock market reaction on the same date. (cnn.com)</w:t>
      </w:r>
    </w:p>
    <w:p>
      <w:pPr>
        <w:pStyle w:val="KillCriteria"/>
      </w:pPr>
      <w:r>
        <w:t>What would change our mind: Unable to close gap: No formal management guidance for FY2026 full-year revenue or gross margin was extractable — all forward color is Q2-specific; the absence of annual guidance makes it impossible to anchor against management's own full-year view</w:t>
      </w:r>
    </w:p>
    <w:p>
      <w:pPr>
        <w:pStyle w:val="SectionHeading"/>
      </w:pPr>
      <w:r>
        <w:t>Appendix</w:t>
      </w:r>
    </w:p>
    <w:p>
      <w:pPr>
        <w:pStyle w:val="SubHeading"/>
      </w:pPr>
      <w:r>
        <w:t>Business context:</w:t>
      </w:r>
    </w:p>
    <w:p>
      <w:r>
        <w:t>Intel Corporation designs and manufactures semiconductors, primarily x86 CPUs for client PCs (CCG segment) and data center servers (DCAI segment), while also operating an internal foundry (Intel Foundry) that produces wafers for its own products and, increasingly, external customers. The company monetizes through product sales of CPUs, ASICs, and networking chips, plus nascent external foundry revenue from third-party wafer fabrication contracts.</w:t>
      </w:r>
    </w:p>
    <w:p>
      <w:pPr>
        <w:pStyle w:val="SubHeading"/>
      </w:pPr>
      <w:r>
        <w:t>Evidence gaps (research TODO):</w:t>
      </w:r>
    </w:p>
    <w:p>
      <w:pPr>
        <w:pStyle w:val="ListBullet"/>
      </w:pPr>
      <w:r>
        <w:t>No formal management guidance for FY2026 full-year revenue or gross margin was extractable — all forward color is Q2-specific; the absence of annual guidance makes it impossible to anchor against management's own full-year view</w:t>
      </w:r>
    </w:p>
    <w:p>
      <w:pPr>
        <w:pStyle w:val="ListBullet"/>
      </w:pPr>
      <w:r>
        <w:t>Apple-Intel foundry partnership: no commercial terms, product scope, volume, pricing, or timeline have been disclosed by either company; the Trump confirmation is a political statement, not a contract</w:t>
      </w:r>
    </w:p>
    <w:p>
      <w:pPr>
        <w:pStyle w:val="ListBullet"/>
      </w:pPr>
      <w:r>
        <w:t>Intel Foundry external customer pipeline: management references 'multiple customers' in 14A evaluation but has not disclosed names, volumes, or probability-weighted revenue; the chicken-and-egg dynamic (capacity before commitment) remains unresolved</w:t>
      </w:r>
    </w:p>
    <w:p>
      <w:pPr>
        <w:pStyle w:val="ListBullet"/>
      </w:pPr>
      <w:r>
        <w:t>14A investment cost trajectory: management has not quantified the annual OpEx step-up for 14A evaluations, making it impossible to model the Foundry loss trajectory with precision</w:t>
      </w:r>
    </w:p>
    <w:p>
      <w:pPr>
        <w:pStyle w:val="ListBullet"/>
      </w:pPr>
      <w:r>
        <w:t>GAAP vs. non-GAAP reconciliation for FY2026 gross margin: management guides non-GAAP gross margin but the GAAP equivalent (which drives reported EPS) requires knowing stock-comp-in-COGS and restructuring charges, which are not disclosed quarterly</w:t>
      </w:r>
    </w:p>
    <w:p>
      <w:pPr>
        <w:pStyle w:val="ListBullet"/>
      </w:pPr>
      <w:r>
        <w:t>Mobileye standalone trajectory: following partial stake sales, Mobileye's contribution to 'All Other' is unclear and could be a source of positive or negative surprise</w:t>
      </w:r>
    </w:p>
    <w:p>
      <w:pPr>
        <w:pStyle w:val="ListBullet"/>
      </w:pPr>
      <w:r>
        <w:t>Tariff/trade policy impact on Intel's manufacturing cost structure: management cited 'geopolitical environments are dynamic' but did not quantify tariff exposure on imported equipment or materials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