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JBFCY — JBFCY</w:t>
      </w:r>
    </w:p>
    <w:p>
      <w:pPr>
        <w:pStyle w:val="SmallMeta"/>
      </w:pPr>
      <w:r>
        <w:t>As of 2026-06-22  |  Schema: restaurant  |  Data: yfinance (FY2025)</w:t>
      </w:r>
    </w:p>
    <w:p>
      <w:pPr>
        <w:pStyle w:val="SubHeading"/>
      </w:pPr>
      <w:r>
        <w:rPr>
          <w:color w:val="8C1D40"/>
        </w:rPr>
        <w:t>Direction: SHORT | Current: $8.28</w:t>
      </w:r>
    </w:p>
    <w:p>
      <w:pPr>
        <w:pStyle w:val="SubHeading"/>
      </w:pPr>
      <w:r>
        <w:t>Summary</w:t>
      </w:r>
    </w:p>
    <w:p>
      <w:pPr>
        <w:pStyle w:val="ListBullet"/>
      </w:pPr>
      <w:r>
        <w:t>Thesis: The street is likely underestimating the severity and duration of Jollibee's margin compression: leisure &amp; hospitality wage inflation running at +4.0% YoY against food-away-from-home pricing power of only +3.5% creates a structural labor cost squeeze that is NOT offset by new unit productivity in high-cost Western markets, and the Q1 2026 profit collapse (-39% YoY per TradingView) suggests the consensus FY2026 operating margin assumption is materially too high. Simultaneously, the absence of formal guidance and thin analyst coverage of this OTC-listed Philippine ADR creates a structural information gap that keeps consensus anchored to stale FY2025 actuals rather than the deteriorating forward trajectory.</w:t>
      </w:r>
    </w:p>
    <w:p>
      <w:pPr>
        <w:pStyle w:val="ListBullet"/>
      </w:pPr>
      <w:r>
        <w:t xml:space="preserve">Top risk: Jollibee's international expansion (US, Middle East, Europe) will drive revenue growth and eventual margin improvement as new stores mature </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EPS Bridge fell back to mechanical model — baseline invalid: shares=0 (financials.diluted_shares_m missing); eps=0 (consensus_eps=0.0, guide_eps=None). Reported EPS uses the schema-driver model, which is less reliable than the bridge.</w:t>
            </w:r>
          </w:p>
        </w:tc>
      </w:tr>
    </w:tbl>
    <w:p>
      <w:pPr>
        <w:pStyle w:val="SectionHeading"/>
      </w:pPr>
      <w:r>
        <w:t>1. Research Synthesis</w:t>
      </w:r>
    </w:p>
    <w:p>
      <w:r>
        <w:t>Jollibee Foods Corporation presents one of the more analytically challenging setups in the QSR peer universe: a Philippines-headquartered multinational with OTC ADR listing, no formal forward guidance, sparse Western sell-side coverage, and a Q1 2026 earnings print that disclosed a 39% profit collapse — yet consensus estimates appear anchored to FY2025 actuals. The diligence task here is to work from the structured financials backward to understand what the business actually earns, then stress-test whether the forward consensus (to the extent it exists) can survive the cost environment disclosed in the most recent quarter.</w:t>
      </w:r>
    </w:p>
    <w:p>
      <w:r>
        <w:t>Starting with the FY2025 P&amp;L structure: revenue of $4,974.2M against cost of revenue of $4,052.7M yields an 81.5% cost ratio and an 18.5% gross margin. Operating income of $352.5M on $4,974.2M revenue = 7.1% operating margin. Net income of $177.4M implies a below-the-line drag of approximately $175.1M ($352.5M operating income minus $177.4M net income), which at a 0% disclosed tax rate must represent interest expense, minority interest, or other below-the-line charges — a critical reconciliation point. The effective tax rate shown as 0.0% in the structured data is almost certainly a data artifact (Philippine corporate tax rate is 25%, and Jollibee operates across multiple jurisdictions); the true tax burden is likely embedded in the $175.1M gap between operating income and net income, or the yfinance data is presenting a non-GAAP or ADR-adjusted figure. This reconciliation gap of $175.1M — equal to 3.5% of revenue — is material and any analyst building a forward model must resolve it. We flag this as an evidence gap: without the actual tax line, minority interest, and interest expense breakdown, EPS flow-through math carries significant uncertainty.</w:t>
      </w:r>
    </w:p>
    <w:p>
      <w:pPr>
        <w:pStyle w:val="ListBullet"/>
      </w:pPr>
      <w:r>
        <w:rPr>
          <w:i/>
        </w:rPr>
        <w:t>→ Research: Search results confirm Jollibee Foods carries material debt (D/E ratio 1.78 as of May 2026) and disclose minority interest line items in financial statements, validating the claim's concern about below-the-line components affecting EPS flow-through. However, specific FY2025 interest expense figures and detailed tax/minority interest breakdowns were not directly accessible in search results. (jollibeegroup.com)</w:t>
      </w:r>
    </w:p>
    <w:p>
      <w:r>
        <w:t>The most material near-term data point is the TradingView headline from May 12, 2026: 'Jollibee Shares Sink As Profit Falls 39% On Cost Surge.' This is a Q1 2026 result, meaning it post-dates the FY2025 structured financials we are working from. A 39% profit decline in Q1 2026 is not a rounding error — if Q1 2026 net income ran at 61% of the prior-year Q1 level, and assuming Q1 is roughly 20-25% of annual profit for a QSR with moderate seasonality, the implied annualized run-rate deterioration is severe. To quantify directionally: if FY2025 net income was $177.4M and Q1 represents ~22% of that (~$39M), a 39% decline implies Q1 2026 net income of approximately $24M. Annualizing at that run-rate ($24M × 4 = $96M) would represent a ~46% decline from FY2025's $177.4M — though this is a rough extrapolation and the cost surge may be partially Q1-specific (seasonal labor, new store pre-opening costs, or one-time items). The Seeking Alpha Q1 2026 earnings call presentation filed May 17, 2026 would contain the actual breakdown, but the verbatim content was not surfaced in the corpus. This is the single most important evidence gap in this analysis.</w:t>
      </w:r>
    </w:p>
    <w:p>
      <w:pPr>
        <w:pStyle w:val="ListBullet"/>
      </w:pPr>
      <w:r>
        <w:rPr>
          <w:i/>
        </w:rPr>
        <w:t>→ Research confirms: TradingView headline and May 12, 2026 publication date confirmed. Net income decline of 38.8% (rounded to 39%) in Q1 2026 verified; direct costs rose 11.7% per management commentary. (tradingview.com)</w:t>
      </w:r>
    </w:p>
    <w:p>
      <w:r>
        <w:t>The macro cost environment provides structural context for why the cost surge is not transitory. BLS data shows Leisure &amp; Hospitality average hourly earnings at $23.58 as of May 2026, up +4.0% YoY — this is the direct labor cost proxy for Jollibee's company-operated restaurants. Against this, food-away-from-home CPI is running at +3.5% YoY, meaning the industry's menu pricing power is running approximately 50 basis points BELOW labor cost inflation. For a business with an 81.5% cost-of-revenue ratio, even a 50bps labor-cost-to-pricing gap compounds materially across a large store base. Additionally, PPI (all commodities) is running at +13.1% YoY as of May 2026 — a significant food input cost signal that typically leads restaurant gross margin compression by 1-2 quarters (this is an analyst inference based on standard commodity pass-through dynamics, not a corpus-cited management statement). The combination of labor cost inflation outpacing menu pricing AND commodity input cost acceleration creates a dual-sided margin squeeze that is structurally unfavorable for a company-operated QSR with thin margins.</w:t>
      </w:r>
    </w:p>
    <w:p>
      <w:r>
        <w:t>Peer context sharpens the picture. The peer consensus table shows CMG at +8.9% FY revenue growth and 26.9x forward P/E; TXRH at +11.2% revenue growth and 28.0x; CAVA at +27.1% and 146.3x. These peers are predominantly US-focused, higher-margin, and in many cases franchise-heavy or fast-casual (structurally higher margins). Jollibee's 7.1% operating margin compares unfavorably to Chipotle's ~16% and Texas Roadhouse's ~9-10% operating margins — and those peers operate in a single currency with more mature labor markets. Jollibee's multi-currency, multi-jurisdiction complexity (Philippines, US, Middle East, Europe, Southeast Asia) adds FX translation risk and operational complexity that the peer table does not capture. The CAVA and SG multiples (146x and 332x) reflect high-growth domestic fast-casual stories with expanding unit economics — a fundamentally different investment thesis than Jollibee's mature-brand, international-expansion model.</w:t>
      </w:r>
    </w:p>
    <w:p>
      <w:pPr>
        <w:pStyle w:val="ListBullet"/>
      </w:pPr>
      <w:r>
        <w:rPr>
          <w:i/>
        </w:rPr>
        <w:t>→ Research: Search confirms FX impact is recognized as external driver affecting JBFCY performance. Philippine peso weakness identified as catalyst for 2025 financial performance. However, no specific quantification of FX effect on cost surge or ADR earnings found in 2025-2026 results. (seekingalpha.com)</w:t>
      </w:r>
    </w:p>
    <w:p>
      <w:r>
        <w:t>The consumer macro backdrop is mixed-to-negative for QSR traffic. University of Michigan consumer sentiment at 49.8 as of April 2026, down 4.6% YoY, is at recessionary-adjacent levels — historically, sentiment at this level correlates with QSR traffic softness as consumers trade down to grocery (food-at-home CPI +2.7% YoY, below food-away +3.5%, meaning the grocery-vs-restaurant price gap is narrowing in favor of home cooking). The personal saving rate at 2.60% (down 52.7% YoY) and personal saving level down 51.8% YoY suggests consumers have drawn down buffers significantly — this is a late-cycle signal that spending resilience may be more fragile than the nominal spending data implies. For Jollibee's US expansion specifically (the Stockton, CA opening in April 2026 is a data point on continued US unit growth), the question is whether new US stores can achieve AUV targets in an environment of weakening consumer confidence and elevated labor costs.</w:t>
      </w:r>
    </w:p>
    <w:p>
      <w:pPr>
        <w:pStyle w:val="ListBullet"/>
      </w:pPr>
      <w:r>
        <w:rPr>
          <w:i/>
        </w:rPr>
        <w:t>→ Research confirms: Jollibee opened its Stockton, CA store on April 3, 2026, confirming the timing claim. Company reports North American AUV of $4.5 million with strong unit economics; no specific Stockton store performance data yet available. (prnewswire.com)</w:t>
      </w:r>
    </w:p>
    <w:p>
      <w:r>
        <w:t>The capital allocation and ownership picture adds another layer. No material insider transactions, M&amp;A, or analyst rating changes appeared in the news corpus — the four news items are two routine store opening announcements (Stockton, CA), the Q1 2026 earnings call presentation filing, and the profit-decline headline. The absence of material corporate actions means the thesis must stand on fundamentals, not event-driven catalysts. The credit market backdrop (HY and IG both in net-buying regime, risk-on) is a mild positive for sentiment but does not change the fundamental cost-squeeze story.</w:t>
      </w:r>
    </w:p>
    <w:p>
      <w:pPr>
        <w:pStyle w:val="ListBullet"/>
      </w:pPr>
      <w:r>
        <w:rPr>
          <w:i/>
        </w:rPr>
        <w:t>→ Research: Search found insider buying activity (not selling) in past 3 months per Simply Wall St. No Form 4 filings or specific executive share sales detected in 2025–2026 period, contradicting the missing_angle premise of material insider selling via ADR. (simplywall.st)</w:t>
      </w:r>
    </w:p>
    <w:p>
      <w:r>
        <w:t>The bear case to our own thesis is straightforward and must be stated fairly: Jollibee's Q1 2026 cost surge may be partially one-time in nature (new store pre-opening costs for the US expansion, one-time commissary investments, or FX translation effects from a strong Philippine peso), and the company's long-term track record of building dominant market positions in Southeast Asia and growing its international footprint could justify a recovery in margins as new stores mature and achieve target AUV. The Seeking Alpha Q1 2026 earnings call presentation — which we do not have verbatim — may contain management commentary that contextualizes the cost surge as temporary and provides a credible path to margin recovery. If Q2 2026 shows cost normalization and the profit decline narrows materially, our bearish margin thesis is falsified. The mispricing, to the extent it exists, is mechanical: JBFCY is an OTC ADR with limited Western sell-side coverage, meaning consensus estimates are slow to update to new quarterly data, and the Q1 2026 profit collapse may not yet be fully reflected in forward models. This is an information-lag gap, not a sophisticated analytical edge — and it resolves quickly once analysts update their models post the Q1 2026 call.</w:t>
      </w:r>
    </w:p>
    <w:p>
      <w:pPr>
        <w:pStyle w:val="ListBullet"/>
      </w:pPr>
      <w:r>
        <w:rPr>
          <w:i/>
        </w:rPr>
        <w:t>→ Research: JBFCF (OTC common stock) has 44 institutional 13F filers holding 30.7M shares; JBFCY (ADR) shows zero 13F filers. Institutional base is concentrated in broad emerging-market index funds (Vanguard, T. Rowe Price, Fidelity), not concentrated hedge fund crowding, but sparse Western coverage thesis confirmed. (fintel.io)</w:t>
      </w:r>
    </w:p>
    <w:p>
      <w:pPr>
        <w:pStyle w:val="ListBullet"/>
      </w:pPr>
      <w:r>
        <w:rPr>
          <w:i/>
        </w:rPr>
        <w:t>→ Research [UPDATES]: Jollibee's track record of building dominant positions in Southeast Asia is confirmed (Vietnam #1 in market share; strong growth across EMEAA). However, Smashburger—the primary international acquisition cited—faced significant challenges post-acquisition (negative EBITDA in 2024 Q3-Q4) before recent recovery in 2026. The claim omits this material underperformance period. (insiderph.com)</w:t>
      </w:r>
    </w:p>
    <w:p>
      <w:pPr>
        <w:pStyle w:val="ListBullet"/>
      </w:pPr>
      <w:r>
        <w:rPr>
          <w:i/>
        </w:rPr>
        <w:t>→ Research confirms: Jollibee's 350 net new unit target is confirmed across multiple authoritative sources. The company announced in March 2025 a goal to expand to 350 stores across U.S. and Canada in the next couple of years, with CEO Tanmantiong reiterating this target in May 2026. (prnewswire.com)</w:t>
      </w:r>
    </w:p>
    <w:p>
      <w:pPr>
        <w:pStyle w:val="PullQuote"/>
      </w:pPr>
      <w:r>
        <w:t>No structured edge claims survived validation (3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+1.10%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-1.40%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Consumer sentiment (University of Michigan) at 49.8 as of April 2026, down 4.6% YoY, is at levels historically associated with QSR traffic softness. The food-away-from-home CPI of +3.5% YoY versus food-at-home CPI of +2.</w:t>
            </w:r>
          </w:p>
        </w:tc>
      </w:tr>
      <w:tr>
        <w:tc>
          <w:tcPr>
            <w:tcW w:type="dxa" w:w="2448"/>
            <w:tcBorders>
              <w:top w:val="single" w:sz="4" w:color="BDC3C7"/>
              <w:bottom w:val="single" w:sz="4" w:color="BDC3C7"/>
              <w:left w:val="single" w:sz="4" w:color="BDC3C7"/>
              <w:right w:val="single" w:sz="4" w:color="BDC3C7"/>
            </w:tcBorders>
          </w:tcPr>
          <w:p>
            <w:r>
              <w:t xml:space="preserve">    ticket_growth_price</w:t>
            </w:r>
          </w:p>
        </w:tc>
        <w:tc>
          <w:tcPr>
            <w:tcW w:type="dxa" w:w="2448"/>
            <w:tcBorders>
              <w:top w:val="single" w:sz="4" w:color="BDC3C7"/>
              <w:bottom w:val="single" w:sz="4" w:color="BDC3C7"/>
              <w:left w:val="single" w:sz="4" w:color="BDC3C7"/>
              <w:right w:val="single" w:sz="4" w:color="BDC3C7"/>
            </w:tcBorders>
          </w:tcPr>
          <w:p>
            <w:r>
              <w:t>+2.50%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Food-away-from-home CPI running at +3.5% YoY (BLS, May 2026) sets the industry pricing ceiling. Jollibee as a value-positioned QSR is unlikely to price above the industry average; we model 2.5% menu price contribution, s</w:t>
            </w:r>
          </w:p>
        </w:tc>
      </w:tr>
      <w:tr>
        <w:tc>
          <w:tcPr>
            <w:tcW w:type="dxa" w:w="2448"/>
            <w:tcBorders>
              <w:top w:val="single" w:sz="4" w:color="BDC3C7"/>
              <w:bottom w:val="single" w:sz="4" w:color="BDC3C7"/>
              <w:left w:val="single" w:sz="4" w:color="BDC3C7"/>
              <w:right w:val="single" w:sz="4" w:color="BDC3C7"/>
            </w:tcBorders>
          </w:tcPr>
          <w:p>
            <w:r>
              <w:t xml:space="preserve">    ticket_growth_mix</w:t>
            </w:r>
          </w:p>
        </w:tc>
        <w:tc>
          <w:tcPr>
            <w:tcW w:type="dxa" w:w="2448"/>
            <w:tcBorders>
              <w:top w:val="single" w:sz="4" w:color="BDC3C7"/>
              <w:bottom w:val="single" w:sz="4" w:color="BDC3C7"/>
              <w:left w:val="single" w:sz="4" w:color="BDC3C7"/>
              <w:right w:val="single" w:sz="4" w:color="BDC3C7"/>
            </w:tcBorders>
          </w:tcPr>
          <w:p>
            <w:r>
              <w:t>+0.00%</w:t>
            </w:r>
          </w:p>
        </w:tc>
        <w:tc>
          <w:tcPr>
            <w:tcW w:type="dxa" w:w="2448"/>
            <w:tcBorders>
              <w:top w:val="single" w:sz="4" w:color="BDC3C7"/>
              <w:bottom w:val="single" w:sz="4" w:color="BDC3C7"/>
              <w:left w:val="single" w:sz="4" w:color="BDC3C7"/>
              <w:right w:val="single" w:sz="4" w:color="BDC3C7"/>
            </w:tcBorders>
          </w:tcPr>
          <w:p>
            <w:r>
              <w:t>0.30</w:t>
            </w:r>
          </w:p>
        </w:tc>
        <w:tc>
          <w:tcPr>
            <w:tcW w:type="dxa" w:w="2448"/>
            <w:tcBorders>
              <w:top w:val="single" w:sz="4" w:color="BDC3C7"/>
              <w:bottom w:val="single" w:sz="4" w:color="BDC3C7"/>
              <w:left w:val="single" w:sz="4" w:color="BDC3C7"/>
              <w:right w:val="single" w:sz="4" w:color="BDC3C7"/>
            </w:tcBorders>
          </w:tcPr>
          <w:p>
            <w:r>
              <w:t>No product mix or menu innovation data was available in the corpus. We assume flat mix contribution given the absence of evidence of a significant new product cycle or premium menu tier launch. The five SSS decomposition</w:t>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210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global_net_new_units</w:t>
            </w:r>
          </w:p>
        </w:tc>
        <w:tc>
          <w:tcPr>
            <w:tcW w:type="dxa" w:w="2448"/>
            <w:tcBorders>
              <w:top w:val="single" w:sz="4" w:color="BDC3C7"/>
              <w:bottom w:val="single" w:sz="4" w:color="BDC3C7"/>
              <w:left w:val="single" w:sz="4" w:color="BDC3C7"/>
              <w:right w:val="single" w:sz="4" w:color="BDC3C7"/>
            </w:tcBorders>
          </w:tcPr>
          <w:p>
            <w:r>
              <w:t>210</w:t>
            </w:r>
          </w:p>
        </w:tc>
        <w:tc>
          <w:tcPr>
            <w:tcW w:type="dxa" w:w="2448"/>
            <w:tcBorders>
              <w:top w:val="single" w:sz="4" w:color="BDC3C7"/>
              <w:bottom w:val="single" w:sz="4" w:color="BDC3C7"/>
              <w:left w:val="single" w:sz="4" w:color="BDC3C7"/>
              <w:right w:val="single" w:sz="4" w:color="BDC3C7"/>
            </w:tcBorders>
          </w:tcPr>
          <w:p>
            <w:r>
              <w:t>0.35</w:t>
            </w:r>
          </w:p>
        </w:tc>
        <w:tc>
          <w:tcPr>
            <w:tcW w:type="dxa" w:w="2448"/>
            <w:tcBorders>
              <w:top w:val="single" w:sz="4" w:color="BDC3C7"/>
              <w:bottom w:val="single" w:sz="4" w:color="BDC3C7"/>
              <w:left w:val="single" w:sz="4" w:color="BDC3C7"/>
              <w:right w:val="single" w:sz="4" w:color="BDC3C7"/>
            </w:tcBorders>
          </w:tcPr>
          <w:p>
            <w:r>
              <w:t>Jollibee has historically opened 400-500+ gross new stores annually across its global portfolio. The Stockton, CA opening in April 2026 confirms continued US expansion. However, the Q1 2026 profit collapse and cost surge</w:t>
            </w:r>
          </w:p>
        </w:tc>
      </w:tr>
      <w:tr>
        <w:tc>
          <w:tcPr>
            <w:tcW w:type="dxa" w:w="2448"/>
            <w:tcBorders>
              <w:top w:val="single" w:sz="4" w:color="BDC3C7"/>
              <w:bottom w:val="single" w:sz="4" w:color="BDC3C7"/>
              <w:left w:val="single" w:sz="4" w:color="BDC3C7"/>
              <w:right w:val="single" w:sz="4" w:color="BDC3C7"/>
            </w:tcBorders>
          </w:tcPr>
          <w:p>
            <w:r>
              <w:rPr>
                <w:b/>
              </w:rPr>
              <w:t>Food Cost</w:t>
            </w:r>
          </w:p>
        </w:tc>
        <w:tc>
          <w:tcPr>
            <w:tcW w:type="dxa" w:w="2448"/>
            <w:tcBorders>
              <w:top w:val="single" w:sz="4" w:color="BDC3C7"/>
              <w:bottom w:val="single" w:sz="4" w:color="BDC3C7"/>
              <w:left w:val="single" w:sz="4" w:color="BDC3C7"/>
              <w:right w:val="single" w:sz="4" w:color="BDC3C7"/>
            </w:tcBorders>
          </w:tcPr>
          <w:p>
            <w:r>
              <w:rPr>
                <w:b/>
              </w:rPr>
              <w:t>+84bps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commodity_inflation_passthrough</w:t>
            </w:r>
          </w:p>
        </w:tc>
        <w:tc>
          <w:tcPr>
            <w:tcW w:type="dxa" w:w="2448"/>
            <w:tcBorders>
              <w:top w:val="single" w:sz="4" w:color="BDC3C7"/>
              <w:bottom w:val="single" w:sz="4" w:color="BDC3C7"/>
              <w:left w:val="single" w:sz="4" w:color="BDC3C7"/>
              <w:right w:val="single" w:sz="4" w:color="BDC3C7"/>
            </w:tcBorders>
          </w:tcPr>
          <w:p>
            <w:r>
              <w:t>+84bps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PPI (all commodities) running at +13.1% YoY as of May 2026 (FRED data) is a significant food input cost signal. For a QSR with an 81.5% cost-of-revenue ratio, even partial commodity cost pass-through to the P&amp;L is materi</w:t>
            </w:r>
          </w:p>
        </w:tc>
      </w:tr>
      <w:tr>
        <w:tc>
          <w:tcPr>
            <w:tcW w:type="dxa" w:w="2448"/>
            <w:tcBorders>
              <w:top w:val="single" w:sz="4" w:color="BDC3C7"/>
              <w:bottom w:val="single" w:sz="4" w:color="BDC3C7"/>
              <w:left w:val="single" w:sz="4" w:color="BDC3C7"/>
              <w:right w:val="single" w:sz="4" w:color="BDC3C7"/>
            </w:tcBorders>
          </w:tcPr>
          <w:p>
            <w:r>
              <w:rPr>
                <w:b/>
              </w:rPr>
              <w:t>Labor Cost</w:t>
            </w:r>
          </w:p>
        </w:tc>
        <w:tc>
          <w:tcPr>
            <w:tcW w:type="dxa" w:w="2448"/>
            <w:tcBorders>
              <w:top w:val="single" w:sz="4" w:color="BDC3C7"/>
              <w:bottom w:val="single" w:sz="4" w:color="BDC3C7"/>
              <w:left w:val="single" w:sz="4" w:color="BDC3C7"/>
              <w:right w:val="single" w:sz="4" w:color="BDC3C7"/>
            </w:tcBorders>
          </w:tcPr>
          <w:p>
            <w:r>
              <w:rPr>
                <w:b/>
              </w:rPr>
              <w:t>+50bps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wage_inflation_net</w:t>
            </w:r>
          </w:p>
        </w:tc>
        <w:tc>
          <w:tcPr>
            <w:tcW w:type="dxa" w:w="2448"/>
            <w:tcBorders>
              <w:top w:val="single" w:sz="4" w:color="BDC3C7"/>
              <w:bottom w:val="single" w:sz="4" w:color="BDC3C7"/>
              <w:left w:val="single" w:sz="4" w:color="BDC3C7"/>
              <w:right w:val="single" w:sz="4" w:color="BDC3C7"/>
            </w:tcBorders>
          </w:tcPr>
          <w:p>
            <w:r>
              <w:t>+50bps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BLS data shows Leisure &amp; Hospitality average hourly earnings at $23.58 as of May 2026, up +4.0% YoY. Food-away-from-home CPI is running at +3.5% YoY, meaning labor cost inflation is outpacing menu pricing power by approx</w:t>
            </w:r>
          </w:p>
        </w:tc>
      </w:tr>
      <w:tr>
        <w:tc>
          <w:tcPr>
            <w:tcW w:type="dxa" w:w="2448"/>
            <w:tcBorders>
              <w:top w:val="single" w:sz="4" w:color="BDC3C7"/>
              <w:bottom w:val="single" w:sz="4" w:color="BDC3C7"/>
              <w:left w:val="single" w:sz="4" w:color="BDC3C7"/>
              <w:right w:val="single" w:sz="4" w:color="BDC3C7"/>
            </w:tcBorders>
          </w:tcPr>
          <w:p>
            <w:r>
              <w:rPr>
                <w:b/>
              </w:rPr>
              <w:t>Other Restaurant Costs</w:t>
            </w:r>
          </w:p>
        </w:tc>
        <w:tc>
          <w:tcPr>
            <w:tcW w:type="dxa" w:w="2448"/>
            <w:tcBorders>
              <w:top w:val="single" w:sz="4" w:color="BDC3C7"/>
              <w:bottom w:val="single" w:sz="4" w:color="BDC3C7"/>
              <w:left w:val="single" w:sz="4" w:color="BDC3C7"/>
              <w:right w:val="single" w:sz="4" w:color="BDC3C7"/>
            </w:tcBorders>
          </w:tcPr>
          <w:p>
            <w:r>
              <w:rPr>
                <w:b/>
              </w:rPr>
              <w:t>+20bps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occupancy_and_other</w:t>
            </w:r>
          </w:p>
        </w:tc>
        <w:tc>
          <w:tcPr>
            <w:tcW w:type="dxa" w:w="2448"/>
            <w:tcBorders>
              <w:top w:val="single" w:sz="4" w:color="BDC3C7"/>
              <w:bottom w:val="single" w:sz="4" w:color="BDC3C7"/>
              <w:left w:val="single" w:sz="4" w:color="BDC3C7"/>
              <w:right w:val="single" w:sz="4" w:color="BDC3C7"/>
            </w:tcBorders>
          </w:tcPr>
          <w:p>
            <w:r>
              <w:t>+20bps</w:t>
            </w:r>
          </w:p>
        </w:tc>
        <w:tc>
          <w:tcPr>
            <w:tcW w:type="dxa" w:w="2448"/>
            <w:tcBorders>
              <w:top w:val="single" w:sz="4" w:color="BDC3C7"/>
              <w:bottom w:val="single" w:sz="4" w:color="BDC3C7"/>
              <w:left w:val="single" w:sz="4" w:color="BDC3C7"/>
              <w:right w:val="single" w:sz="4" w:color="BDC3C7"/>
            </w:tcBorders>
          </w:tcPr>
          <w:p>
            <w:r>
              <w:t>0.35</w:t>
            </w:r>
          </w:p>
        </w:tc>
        <w:tc>
          <w:tcPr>
            <w:tcW w:type="dxa" w:w="2448"/>
            <w:tcBorders>
              <w:top w:val="single" w:sz="4" w:color="BDC3C7"/>
              <w:bottom w:val="single" w:sz="4" w:color="BDC3C7"/>
              <w:left w:val="single" w:sz="4" w:color="BDC3C7"/>
              <w:right w:val="single" w:sz="4" w:color="BDC3C7"/>
            </w:tcBorders>
          </w:tcPr>
          <w:p>
            <w:r>
              <w:t>With continued US expansion (Stockton CA opening April 2026), pre-opening costs and higher US occupancy costs relative to Philippine/Southeast Asian markets will create modest additional cost pressure. Core CPI ex food a</w:t>
            </w:r>
          </w:p>
        </w:tc>
      </w:tr>
    </w:tbl>
    <w:p>
      <w:pPr>
        <w:pStyle w:val="SubHeading"/>
      </w:pPr>
      <w:r>
        <w:t>Bear revisions:</w:t>
      </w:r>
    </w:p>
    <w:p>
      <w:pPr>
        <w:pStyle w:val="ListBullet"/>
      </w:pPr>
      <w:r>
        <w:t>Same-Store Sales Growth.traffic_growth: -1.0 → -2.5 — In a bear scenario where consumer sentiment deterioration (49.8, near recessionary) translates to a more severe traffic decline, and the grocery-vs-restaurant price gap continues to narrow (food-at-home CPI +2.7% vs. food-away +3.5%), Jollibee's value-positioned QSR traffic could decline 2.5% as consumers trade down to home cooking. This is consistent with the lower end of QSR traffic declines seen in prior consumer confidence troughs.</w:t>
      </w:r>
    </w:p>
    <w:p>
      <w:pPr>
        <w:pStyle w:val="ListBullet"/>
      </w:pPr>
      <w:r>
        <w:t>Food Cost.commodity_inflation_passthrough: 60 → 100 — If PPI commodity inflation (+13.1% YoY) passes through more fully to Jollibee's food costs — particularly for chicken, which is a core Jollibee ingredient and subject to global protein price volatility — food cost delta could reach +100bps, compounding the labor cost squeeze and pushing operating margin below 5%.</w:t>
      </w:r>
    </w:p>
    <w:p>
      <w:pPr>
        <w:pStyle w:val="ListBullet"/>
      </w:pPr>
      <w:r>
        <w:t>New Restaurant Openings.global_net_new_units: 350 → 200 — If management responds to the Q1 2026 profit collapse by pausing or slowing international expansion (particularly high-cost US openings), net new units could fall to 200, reducing the revenue contribution from new stores and creating negative operating leverage on fixed G&amp;A costs.</w:t>
      </w:r>
    </w:p>
    <w:p>
      <w:pPr>
        <w:pStyle w:val="SectionHeading"/>
      </w:pPr>
      <w:r>
        <w:t>3. Consensus Gap &amp; Valuation</w:t>
      </w:r>
    </w:p>
    <w:p>
      <w:r>
        <w:t>Our EPS: $0.00  =  baseline $0.00  +  Σ claim impacts $+0.00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Prior-year revenue, flat (consensus revenue mean and guidance growth both missing);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$0.00</w:t>
            </w:r>
          </w:p>
        </w:tc>
      </w:tr>
    </w:tbl>
    <w:p>
      <w:pPr>
        <w:pStyle w:val="PullQuote"/>
      </w:pPr>
      <w:r>
        <w:t xml:space="preserve">  ⚠ Baseline P&amp;L could not be constructed (missing consensus or shares); EPS build degraded to baseline EPS only.</w:t>
      </w:r>
    </w:p>
    <w:p>
      <w:r>
        <w:t>No consensus EPS to compare against</w:t>
      </w:r>
    </w:p>
    <w:p>
      <w:r>
        <w:t>Priced in: not fully</w:t>
      </w:r>
    </w:p>
    <w:p>
      <w:r>
        <w:t>Edge verdict: NO_CONSENSUS (score 0.000).</w:t>
      </w:r>
    </w:p>
    <w:p>
      <w:pPr>
        <w:pStyle w:val="SectionHeading"/>
      </w:pPr>
      <w:r>
        <w:t>4. Catalysts</w:t>
      </w:r>
    </w:p>
    <w:p>
      <w:r>
        <w:t>No dated catalysts identified in filings or available market data.</w:t>
      </w:r>
    </w:p>
    <w:p>
      <w:pPr>
        <w:pStyle w:val="SectionHeading"/>
      </w:pPr>
      <w:r>
        <w:t>5. Risks, Blind Spots &amp; Kill Criteria</w:t>
      </w:r>
    </w:p>
    <w:p>
      <w:pPr>
        <w:pStyle w:val="SubHeading"/>
      </w:pPr>
      <w:r>
        <w:t>Top risks:</w:t>
      </w:r>
    </w:p>
    <w:p>
      <w:pPr>
        <w:pStyle w:val="ListBullet"/>
      </w:pPr>
      <w:r>
        <w:t>Jollibee's international expansion (US, Middle East, Europe) will drive revenue growth and eventual margin improvement as new stores mature and achieve target AUV — counter: Q1 2026 profit fell 39% YoY on a 'cost surge' (TradingView, May 12, 2026), suggesting that the current phase of international expansion is margin-dilutive rather than accretive. L&amp;H wages in the US are running at +4.0% YoY against food-away CPI of +3.5%, meaning the structural economics of US company-operated stores are deteriorating, not improving. The Stockton CA opening (April 2026) adds more high-cost US stores to the portfolio at precisely the wrong point in the cost cycle. [serious]</w:t>
      </w:r>
    </w:p>
    <w:p>
      <w:pPr>
        <w:pStyle w:val="ListBullet2"/>
      </w:pPr>
      <w:r>
        <w:rPr>
          <w:i/>
        </w:rPr>
        <w:t>→ Research: JFC's multi-brand portfolio includes Smashburger and The Coffee Bean &amp; Tea Leaf (80% owned), both heavily franchised. Smashburger operates primarily as a franchise system; Coffee Bean had 336 company-owned of 1,189 total locations (28% company-operated) as of 2019. This franchise-heavy mix across portfolio brands materially differs from Jollibee's North America strategy (currently 100% company-ope (restaurantnews.com)</w:t>
      </w:r>
    </w:p>
    <w:p>
      <w:pPr>
        <w:pStyle w:val="ListBullet"/>
      </w:pPr>
      <w:r>
        <w:t>The 0% tax rate in structured financials implies minimal tax burden, supporting net income conversion from operating income — counter: The $175.1M gap between operating income ($352.5M) and net income ($177.4M) — equal to 3.5% of revenue — is unexplained by the structured data. Philippine corporate tax rate is 25%, and Jollibee operates across multiple jurisdictions. Either the tax burden is embedded in this gap (implying an effective rate of ~50% on operating income, which would be anomalously high), or there are significant minority interest charges, interest expense, or other below-the-line items that the structured data does not break out. This creates material uncertainty in EPS flow-through calculations. [serious]</w:t>
      </w:r>
    </w:p>
    <w:p>
      <w:pPr>
        <w:pStyle w:val="ListBullet"/>
      </w:pPr>
      <w:r>
        <w:t>Consumer resilience (real disposable personal income +5.8% YoY) supports QSR traffic and SSS growth — counter: University of Michigan consumer sentiment at 49.8 (April 2026, -4.6% YoY) is near recessionary levels and typically leads discretionary spending by ~1 quarter. Personal saving rate at 2.60% (down 52.7% YoY) and personal saving level down 51.8% YoY suggest the income gains are being consumed rather than saved, and the buffer for future spending is thin. Credit card delinquency at 2.92% (down 4.6% YoY) is a mild positive, but the sentiment deterioration is a more forward-looking signal. [moderate]</w:t>
      </w:r>
    </w:p>
    <w:p>
      <w:pPr>
        <w:pStyle w:val="KillCriteria"/>
      </w:pPr>
      <w:r>
        <w:t>What would change our mind: Unable to close gap: Q1 2026 earnings call transcript and presentation (Seeking Alpha, May 17, 2026) — verbatim management commentary on the cost surge composition (one-time vs. structural), H2 2026 margin outlook, and any forward guidance would be the single most important input to this model</w:t>
      </w:r>
    </w:p>
    <w:p>
      <w:pPr>
        <w:pStyle w:val="SectionHeading"/>
      </w:pPr>
      <w:r>
        <w:t>Appendix</w:t>
      </w:r>
    </w:p>
    <w:p>
      <w:pPr>
        <w:pStyle w:val="SubHeading"/>
      </w:pPr>
      <w:r>
        <w:t>Evidence gaps (research TODO):</w:t>
      </w:r>
    </w:p>
    <w:p>
      <w:pPr>
        <w:pStyle w:val="ListBullet"/>
      </w:pPr>
      <w:r>
        <w:t>Q1 2026 earnings call transcript and presentation (Seeking Alpha, May 17, 2026) — verbatim management commentary on the cost surge composition (one-time vs. structural), H2 2026 margin outlook, and any forward guidance would be the single most important input to this model</w:t>
      </w:r>
    </w:p>
    <w:p>
      <w:pPr>
        <w:pStyle w:val="ListBullet"/>
      </w:pPr>
      <w:r>
        <w:t>Breakdown of the $175.1M gap between operating income ($352.5M) and net income ($177.4M) — tax expense, minority interest, and interest expense line items are critical for EPS flow-through math</w:t>
      </w:r>
    </w:p>
    <w:p>
      <w:pPr>
        <w:pStyle w:val="ListBullet"/>
      </w:pPr>
      <w:r>
        <w:t>Same-store sales data by geography (Philippines, US, international) — without segment SSS, we cannot distinguish between a Philippines-specific cost issue and a broader global margin problem</w:t>
      </w:r>
    </w:p>
    <w:p>
      <w:pPr>
        <w:pStyle w:val="ListBullet"/>
      </w:pPr>
      <w:r>
        <w:t>New unit count and pipeline for FY2026 — no formal unit guidance was disclosed, making new store revenue contribution highly uncertain</w:t>
      </w:r>
    </w:p>
    <w:p>
      <w:pPr>
        <w:pStyle w:val="ListBullet"/>
      </w:pPr>
      <w:r>
        <w:t>Food cost composition (chicken, beef, other proteins as % of COGS) — needed to assess PPI commodity inflation pass-through magnitude</w:t>
      </w:r>
    </w:p>
    <w:p>
      <w:pPr>
        <w:pStyle w:val="ListBullet"/>
      </w:pPr>
      <w:r>
        <w:t>FX translation impact — Jollibee reports in Philippine pesos and the ADR conversion introduces currency risk that is not quantified in the structured financials</w:t>
      </w:r>
    </w:p>
    <w:p>
      <w:pPr>
        <w:pStyle w:val="ListBullet"/>
      </w:pPr>
      <w:r>
        <w:t>SSS decomposition: what % of FY2025 SSS came from pricing vs. traffic, and whether any new product launches created a comp lap headwind for FY2026</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