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LYV — LYV</w:t>
      </w:r>
    </w:p>
    <w:p>
      <w:pPr>
        <w:pStyle w:val="SmallMeta"/>
      </w:pPr>
      <w:r>
        <w:t>As of 2026-04-20  |  Schema: general  |  Data: polygon (FY2025)</w:t>
      </w:r>
    </w:p>
    <w:p>
      <w:pPr>
        <w:pStyle w:val="SubHeading"/>
      </w:pPr>
      <w:r>
        <w:rPr>
          <w:color w:val="8C1D40"/>
        </w:rPr>
        <w:t>Direction: LONG | Current: $156.25</w:t>
      </w:r>
    </w:p>
    <w:p>
      <w:pPr>
        <w:pStyle w:val="SubHeading"/>
      </w:pPr>
      <w:r>
        <w:t>Summary</w:t>
      </w:r>
    </w:p>
    <w:p>
      <w:pPr>
        <w:pStyle w:val="ListBullet"/>
      </w:pPr>
      <w:r>
        <w:t>Thesis: Street underestimates the compounding effect of venue ownership on concert margins - management guided double-digit AOI growth with VenuNation fan count accelerating to double-digits, but consensus likely models static venue mix and misses the 50-100bps annual margin expansion from owned venue portfolio scaling.</w:t>
      </w:r>
    </w:p>
    <w:p>
      <w:pPr>
        <w:pStyle w:val="ListBullet"/>
      </w:pPr>
      <w:r>
        <w:t>Next catalyst: Next quarterly earnings report (2026-05-07 (17 days))</w:t>
      </w:r>
    </w:p>
    <w:p>
      <w:pPr>
        <w:pStyle w:val="ListBullet"/>
      </w:pPr>
      <w:r>
        <w:t>Top risk: Ticketing will contribute meaningfully to growth</w:t>
      </w:r>
    </w:p>
    <w:p>
      <w:pPr>
        <w:pStyle w:val="SectionHeading"/>
      </w:pPr>
      <w:r>
        <w:t>1. Edge</w:t>
      </w:r>
    </w:p>
    <w:p>
      <w:r>
        <w:t>Street underestimates the compounding effect of venue ownership on concert margins - management guided double-digit AOI growth with VenuNation fan count accelerating to double-digits, but consensus likely models static venue mix and misses the 50-100bps annual margin expansion from owned venue portfolio scaling.</w:t>
      </w:r>
    </w:p>
    <w:p>
      <w:r>
        <w:t>Consensus EPS of $2.23 implies modest margin expansion, but management explicitly guided confidence in double-digit AOI growth driven by VenuNation hosting 70M+ fans (double-digit growth). In the Q4 2025 call, CFO stated 'getting more fans into VenuNation buildings where we're counting the beer money and parking' would drive margin accretion. Street likely models venue mix as static rather than increasingly self-owned.</w:t>
      </w:r>
    </w:p>
    <w:p>
      <w:r>
        <w:t>The debate: Whether Live Nation can sustain double-digit growth as it scales globally, with particular focus on venue development ROI, international expansion execution, and ticketing segment headwinds from regulatory pressure.</w:t>
      </w:r>
    </w:p>
    <w:p>
      <w:pPr>
        <w:pStyle w:val="SubHeading"/>
      </w:pPr>
      <w:r>
        <w:t>What consensus assumes:</w:t>
      </w:r>
    </w:p>
    <w:p>
      <w:pPr>
        <w:pStyle w:val="ListBullet"/>
      </w:pPr>
      <w:r>
        <w:t>revenue_growth_pct: Street likely assumes 8-10% revenue growth based on guided double-digit AOI growth but modest ticketing contribution, missing the venue ownership margin multiplier effect</w:t>
      </w:r>
    </w:p>
    <w:p>
      <w:pPr>
        <w:pStyle w:val="ListBullet"/>
      </w:pPr>
      <w:r>
        <w:t>cogs_delta_bps: Consensus probably models flat or slightly declining cost structure, not capturing the venue development pre-opening expenses management highlighted as 2026 headwind</w:t>
      </w:r>
    </w:p>
    <w:p>
      <w:pPr>
        <w:pStyle w:val="SubHeading"/>
      </w:pPr>
      <w:r>
        <w:t>Where we differ from guidance:</w:t>
      </w:r>
    </w:p>
    <w:p>
      <w:pPr>
        <w:pStyle w:val="ListBullet"/>
      </w:pPr>
      <w:r>
        <w:t>revenue_growth_pct: Management guided double-digit AOI growth with high confidence across segments. Our 12% revenue growth aligns with this confidence, driven by VenuNation expansion and international stadium growth.</w:t>
      </w:r>
    </w:p>
    <w:p>
      <w:pPr>
        <w:pStyle w:val="ListBullet"/>
      </w:pPr>
      <w:r>
        <w:t>cogs_delta_bps: Management noted VenuNation pre-opening expenses as near-term headwind but emphasized margin accretion from owned venues. Our +75bps cost increase captures investment phase before margin expansion accelerates.</w:t>
      </w:r>
    </w:p>
    <w:p>
      <w:r>
        <w:t>Management tone shift in a recent call: Q2 2025: OSESA Latin America expansion deal completion, management highlighted 'home-run relationship' and partner willingness to extend timeline</w:t>
      </w:r>
    </w:p>
    <w:p>
      <w:pPr>
        <w:pStyle w:val="PullQuote"/>
      </w:pPr>
      <w:r>
        <w:t>Counter: the analyst claims Street underestimates compounding venue ownership margin expansion — but The 'compounding' effect is actually diminishing returns - margins only expanded 50bps in an optimal year with record growth, and international expansion (where most growth is occurring) likely carries lower margins than mature US venues</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+30.00%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Concert Revenue Growth</w:t>
            </w:r>
          </w:p>
        </w:tc>
        <w:tc>
          <w:tcPr>
            <w:tcW w:type="dxa" w:w="2448"/>
            <w:tcBorders>
              <w:top w:val="single" w:sz="4" w:color="BDC3C7"/>
              <w:bottom w:val="single" w:sz="4" w:color="BDC3C7"/>
              <w:left w:val="single" w:sz="4" w:color="BDC3C7"/>
              <w:right w:val="single" w:sz="4" w:color="BDC3C7"/>
            </w:tcBorders>
          </w:tcPr>
          <w:p>
            <w:r>
              <w:t>+10.00%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 xml:space="preserve">In the Q4 2025 earnings call, CFO guided 'double-digit solid growth' for concerts with over 80% of 2026 large venue shows already booked, pacing up high-single </w:t>
            </w:r>
          </w:p>
        </w:tc>
      </w:tr>
      <w:tr>
        <w:tc>
          <w:tcPr>
            <w:tcW w:type="dxa" w:w="2448"/>
            <w:tcBorders>
              <w:top w:val="single" w:sz="4" w:color="BDC3C7"/>
              <w:bottom w:val="single" w:sz="4" w:color="BDC3C7"/>
              <w:left w:val="single" w:sz="4" w:color="BDC3C7"/>
              <w:right w:val="single" w:sz="4" w:color="BDC3C7"/>
            </w:tcBorders>
          </w:tcPr>
          <w:p>
            <w:r>
              <w:t xml:space="preserve">    Ticketing Revenue Growth</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In the Q4 2025 call, CFO stated 'we're not expecting a lot out of ticketing this year' due to secondary market headwinds, despite underlying mid-single digit gr</w:t>
            </w:r>
          </w:p>
        </w:tc>
      </w:tr>
      <w:tr>
        <w:tc>
          <w:tcPr>
            <w:tcW w:type="dxa" w:w="2448"/>
            <w:tcBorders>
              <w:top w:val="single" w:sz="4" w:color="BDC3C7"/>
              <w:bottom w:val="single" w:sz="4" w:color="BDC3C7"/>
              <w:left w:val="single" w:sz="4" w:color="BDC3C7"/>
              <w:right w:val="single" w:sz="4" w:color="BDC3C7"/>
            </w:tcBorders>
          </w:tcPr>
          <w:p>
            <w:r>
              <w:t xml:space="preserve">    Sponsorship Revenue Growth</w:t>
            </w:r>
          </w:p>
        </w:tc>
        <w:tc>
          <w:tcPr>
            <w:tcW w:type="dxa" w:w="2448"/>
            <w:tcBorders>
              <w:top w:val="single" w:sz="4" w:color="BDC3C7"/>
              <w:bottom w:val="single" w:sz="4" w:color="BDC3C7"/>
              <w:left w:val="single" w:sz="4" w:color="BDC3C7"/>
              <w:right w:val="single" w:sz="4" w:color="BDC3C7"/>
            </w:tcBorders>
          </w:tcPr>
          <w:p>
            <w:r>
              <w:t>+18.00%</w:t>
            </w:r>
          </w:p>
        </w:tc>
        <w:tc>
          <w:tcPr>
            <w:tcW w:type="dxa" w:w="2448"/>
            <w:tcBorders>
              <w:top w:val="single" w:sz="4" w:color="BDC3C7"/>
              <w:bottom w:val="single" w:sz="4" w:color="BDC3C7"/>
              <w:left w:val="single" w:sz="4" w:color="BDC3C7"/>
              <w:right w:val="single" w:sz="4" w:color="BDC3C7"/>
            </w:tcBorders>
          </w:tcPr>
          <w:p>
            <w:r>
              <w:t>0.80</w:t>
            </w:r>
          </w:p>
        </w:tc>
        <w:tc>
          <w:tcPr>
            <w:tcW w:type="dxa" w:w="2448"/>
            <w:tcBorders>
              <w:top w:val="single" w:sz="4" w:color="BDC3C7"/>
              <w:bottom w:val="single" w:sz="4" w:color="BDC3C7"/>
              <w:left w:val="single" w:sz="4" w:color="BDC3C7"/>
              <w:right w:val="single" w:sz="4" w:color="BDC3C7"/>
            </w:tcBorders>
          </w:tcPr>
          <w:p>
            <w:r>
              <w:t>In the Q4 2025 call, CFO guided sponsorship to 'continue to be up double digits AOI this year' with over 70% booked and running double digits ahead. Sponsorship</w:t>
            </w:r>
          </w:p>
        </w:tc>
      </w:tr>
    </w:tbl>
    <w:p>
      <w:pPr>
        <w:pStyle w:val="SubHeading"/>
      </w:pPr>
      <w:r>
        <w:t>Bear revisions:</w:t>
      </w:r>
    </w:p>
    <w:p>
      <w:pPr>
        <w:pStyle w:val="ListBullet"/>
      </w:pPr>
      <w:r>
        <w:t>Revenue Growth.Ticketing Revenue Growth: 5.0 → 2.0 — Management's explicit caution on ticketing segment performance despite record stadium volume suggests deeper structural headwinds than one-time issues. Regulatory pressure on fees could limit pricing power.</w:t>
      </w:r>
    </w:p>
    <w:p>
      <w:pPr>
        <w:pStyle w:val="PullQuote"/>
      </w:pPr>
      <w:r>
        <w:t>Counter: the analyst claims Double-digit concert growth sustainable with venue scaling — but Growth is becoming increasingly dependent on stadium shows and international expansion - both have structural headwinds (limited stadium inventory, higher international operating complexity) that make 10% growth unsustainable</w:t>
      </w:r>
    </w:p>
    <w:p>
      <w:pPr>
        <w:pStyle w:val="SectionHeading"/>
      </w:pPr>
      <w:r>
        <w:t>3. Consensus Gap &amp; Valuation</w:t>
      </w:r>
    </w:p>
    <w:p>
      <w:r>
        <w:t>Our estimate: EPS $10.21 vs. consensus $2.23 ($7.98 / 357.5% above).</w:t>
      </w:r>
    </w:p>
    <w:p>
      <w:r>
        <w:t>Our estimate is $7.98 (357.5%) above consensus $2.23. Primary driver: Revenue Growth.Sponsorship Revenue Growth (ours +18.0 vs street -8.6, contributing $+5.592 to EPS variant, evidence: moderate). Variant appears NOT fully priced in based on available market data. Next catalyst: Next quarterly earnings report (2026-05-07 (17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Growth.Sponsorship Revenue 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-8.63</w:t>
            </w:r>
          </w:p>
        </w:tc>
        <w:tc>
          <w:tcPr>
            <w:tcW w:type="dxa" w:w="1958"/>
            <w:tcBorders>
              <w:top w:val="single" w:sz="4" w:color="BDC3C7"/>
              <w:bottom w:val="single" w:sz="4" w:color="BDC3C7"/>
              <w:left w:val="single" w:sz="4" w:color="BDC3C7"/>
              <w:right w:val="single" w:sz="4" w:color="BDC3C7"/>
            </w:tcBorders>
          </w:tcPr>
          <w:p>
            <w:r>
              <w:t>+5.592</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 Growth.Concert Revenue Growth</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-8.63</w:t>
            </w:r>
          </w:p>
        </w:tc>
        <w:tc>
          <w:tcPr>
            <w:tcW w:type="dxa" w:w="1958"/>
            <w:tcBorders>
              <w:top w:val="single" w:sz="4" w:color="BDC3C7"/>
              <w:bottom w:val="single" w:sz="4" w:color="BDC3C7"/>
              <w:left w:val="single" w:sz="4" w:color="BDC3C7"/>
              <w:right w:val="single" w:sz="4" w:color="BDC3C7"/>
            </w:tcBorders>
          </w:tcPr>
          <w:p>
            <w:r>
              <w:t>+3.912</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Revenue Growth.Ticketing Revenue Growth</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-8.63</w:t>
            </w:r>
          </w:p>
        </w:tc>
        <w:tc>
          <w:tcPr>
            <w:tcW w:type="dxa" w:w="1958"/>
            <w:tcBorders>
              <w:top w:val="single" w:sz="4" w:color="BDC3C7"/>
              <w:bottom w:val="single" w:sz="4" w:color="BDC3C7"/>
              <w:left w:val="single" w:sz="4" w:color="BDC3C7"/>
              <w:right w:val="single" w:sz="4" w:color="BDC3C7"/>
            </w:tcBorders>
          </w:tcPr>
          <w:p>
            <w:r>
              <w:t>+2.232</w:t>
            </w:r>
          </w:p>
        </w:tc>
        <w:tc>
          <w:tcPr>
            <w:tcW w:type="dxa" w:w="1958"/>
            <w:tcBorders>
              <w:top w:val="single" w:sz="4" w:color="BDC3C7"/>
              <w:bottom w:val="single" w:sz="4" w:color="BDC3C7"/>
              <w:left w:val="single" w:sz="4" w:color="BDC3C7"/>
              <w:right w:val="single" w:sz="4" w:color="BDC3C7"/>
            </w:tcBorders>
          </w:tcPr>
          <w:p>
            <w:r>
              <w:t>0.40</w:t>
            </w:r>
          </w:p>
        </w:tc>
      </w:tr>
    </w:tbl>
    <w:p>
      <w:r>
        <w:t>Priced in: not fully — Variant (+357.5%) exceeds implied move (2.4%). Short interest 13.0% supports</w:t>
      </w:r>
    </w:p>
    <w:p>
      <w:r>
        <w:t>Edge verdict: ACTIONABLE_EDGE (score 0.242).</w:t>
      </w:r>
    </w:p>
    <w:p>
      <w:pPr>
        <w:pStyle w:val="PullQuote"/>
      </w:pPr>
      <w:r>
        <w:t>Counter: the analyst claims Consensus models static venue mix and misses margin expansion — but Consensus may actually be correctly modeling the law of large numbers - as LYV scales internationally and into lower-margin markets, the venue mix improvement becomes a smaller factor while operational complexity increases</w:t>
      </w:r>
    </w:p>
    <w:p>
      <w:pPr>
        <w:pStyle w:val="SectionHeading"/>
      </w:pPr>
      <w:r>
        <w:t>4. Catalysts</w:t>
      </w:r>
    </w:p>
    <w:p>
      <w:pPr>
        <w:pStyle w:val="ListBullet"/>
      </w:pPr>
      <w:r>
        <w:t>Next quarterly earnings report (2026-05-07 (17 days)) — resolves revenue + margins + guidance; confirms or challenges</w:t>
      </w:r>
    </w:p>
    <w:p>
      <w:pPr>
        <w:pStyle w:val="ListBullet"/>
      </w:pPr>
      <w:r>
        <w:t>Resolution: Double-digit AOI growth is sustainable with current venue mix (Multi-year thesis -- patience required) — resolves Revenue Growth; confirms or challenges</w:t>
      </w:r>
    </w:p>
    <w:p>
      <w:pPr>
        <w:pStyle w:val="ListBullet"/>
      </w:pPr>
      <w:r>
        <w:t>Resolution: Ticketing will contribute meaningfully to growth (Multi-year thesis -- patience required) — resolves Revenue Growth; confirms or challenges</w:t>
      </w:r>
    </w:p>
    <w:p>
      <w:pPr>
        <w:pStyle w:val="ListBullet"/>
      </w:pPr>
      <w:r>
        <w:t>Resolution: Analyst blind spot (Multi-year thesis -- patience required) — resolves general; confirms or challenges</w:t>
      </w:r>
    </w:p>
    <w:p>
      <w:pPr>
        <w:pStyle w:val="ListBullet"/>
      </w:pPr>
      <w:r>
        <w:t>Specific venue development capex guidance for 2026 (Unknown timing) — resolves multiple; resolves uncertainty</w:t>
      </w:r>
    </w:p>
    <w:p>
      <w:pPr>
        <w:pStyle w:val="ListBullet"/>
      </w:pPr>
      <w:r>
        <w:t>Breakdown of international vs domestic revenue contribution (Unknown timing) — resolves multiple; resolves uncertainty</w:t>
      </w:r>
    </w:p>
    <w:p>
      <w:pPr>
        <w:pStyle w:val="SectionHeading"/>
      </w:pPr>
      <w:r>
        <w:t>5. Risks, Blind Spots &amp; Kill Criteria</w:t>
      </w:r>
    </w:p>
    <w:p>
      <w:pPr>
        <w:pStyle w:val="SubHeading"/>
      </w:pPr>
      <w:r>
        <w:t>Top risks:</w:t>
      </w:r>
    </w:p>
    <w:p>
      <w:pPr>
        <w:pStyle w:val="ListBullet"/>
      </w:pPr>
      <w:r>
        <w:t>Ticketing will contribute meaningfully to growth — counter: CFO stated 'we're not expecting a lot out of ticketing this year' despite underlying health, citing 'one-time headwinds on secondary.' This directly contradicts bull case assumptions about ticketing leverage from stadium volume. [serious]</w:t>
      </w:r>
    </w:p>
    <w:p>
      <w:pPr>
        <w:pStyle w:val="ListBullet"/>
      </w:pPr>
      <w:r>
        <w:t>Venue ownership drives 50-100bps annual margin expansion — counter: Concert margins only expanded 50bps in 2025 despite record revenue growth and venue investments - this is the LOW end of the analyst's range in what should be an optimal year [serious]</w:t>
      </w:r>
    </w:p>
    <w:p>
      <w:pPr>
        <w:pStyle w:val="ListBullet"/>
      </w:pPr>
      <w:r>
        <w:t>Double-digit AOI growth is sustainable with current venue mix — counter: CFO explicitly noted 'pre-opening expense at VenuNation' as a 2026 headwind, and historical pattern shows venue development creates near-term margin pressure. Q2 2025 call highlighted 14 major venues opening 2024-2025 vs prior plan of 12, suggesting accelerated investment cycle. [moderate]</w:t>
      </w:r>
    </w:p>
    <w:p>
      <w:pPr>
        <w:pStyle w:val="SubHeading"/>
      </w:pPr>
      <w:r>
        <w:t>Blind spots (auditor-independent):</w:t>
      </w:r>
    </w:p>
    <w:p>
      <w:pPr>
        <w:pStyle w:val="ListBullet"/>
      </w:pPr>
      <w:r>
        <w:t>Artist investment scaling faster than revenue - $15B artist investment on $25.2B revenue is 60% of total revenue, creating enormous operating leverage risk if demand softens</w:t>
      </w:r>
    </w:p>
    <w:p>
      <w:pPr>
        <w:pStyle w:val="ListBullet"/>
      </w:pPr>
      <w:r>
        <w:t>International markets now exceed US fan count but analyst assumes uniform margin expansion globally - international venues likely have different cost structures and lower margins</w:t>
      </w:r>
    </w:p>
    <w:p>
      <w:pPr>
        <w:pStyle w:val="ListBullet"/>
      </w:pPr>
      <w:r>
        <w:t>Stadium shows doubled but stadiums have fundamentally different economics than arenas/theaters - high fixed costs, weather risk, limited date availability</w:t>
      </w:r>
    </w:p>
    <w:p>
      <w:pPr>
        <w:pStyle w:val="KillCriteria"/>
      </w:pPr>
      <w:r>
        <w:t>What would change our mind: Print on Revenue Growth.Sponsorship Revenue Growth comes in below our +18.0 figure (toward street -8.6) in the next 1-2 prints.</w:t>
      </w:r>
    </w:p>
    <w:p>
      <w:pPr>
        <w:pStyle w:val="SectionHeading"/>
      </w:pPr>
      <w:r>
        <w:t>Appendix</w:t>
      </w:r>
    </w:p>
    <w:p>
      <w:pPr>
        <w:pStyle w:val="SubHeading"/>
      </w:pPr>
      <w:r>
        <w:t>Business context:</w:t>
      </w:r>
    </w:p>
    <w:p>
      <w:r>
        <w:t>Live Nation is the world's leading live entertainment company, operating through three segments: Concerts (promoting and producing live events), Ticketing (Ticketmaster fee-based ticket sales), and Sponsorship &amp; Advertising (brand partnerships). The company monetizes the live music ecosystem from artist booking to venue operations to ticket distribution.</w:t>
      </w:r>
    </w:p>
    <w:p>
      <w:pPr>
        <w:pStyle w:val="SubHeading"/>
      </w:pPr>
      <w:r>
        <w:t>Evidence gaps (research TODO):</w:t>
      </w:r>
    </w:p>
    <w:p>
      <w:pPr>
        <w:pStyle w:val="ListBullet"/>
      </w:pPr>
      <w:r>
        <w:t>Specific venue development capex guidance for 2026</w:t>
      </w:r>
    </w:p>
    <w:p>
      <w:pPr>
        <w:pStyle w:val="ListBullet"/>
      </w:pPr>
      <w:r>
        <w:t>Breakdown of international vs domestic revenue contribution</w:t>
      </w:r>
    </w:p>
    <w:p>
      <w:pPr>
        <w:pStyle w:val="ListBullet"/>
      </w:pPr>
      <w:r>
        <w:t>Artist guarantee inflation rates and impact on concert margins</w:t>
      </w:r>
    </w:p>
    <w:p>
      <w:pPr>
        <w:pStyle w:val="ListBullet"/>
      </w:pPr>
      <w:r>
        <w:t>Regulatory impact quantification on ticketing fees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