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MNST — MNST</w:t>
      </w:r>
    </w:p>
    <w:p>
      <w:pPr>
        <w:pStyle w:val="SmallMeta"/>
      </w:pPr>
      <w:r>
        <w:t>As of 2026-06-22  |  Schema: general  |  Data: polygon (FY2025)</w:t>
      </w:r>
    </w:p>
    <w:p>
      <w:pPr>
        <w:pStyle w:val="SubHeading"/>
      </w:pPr>
      <w:r>
        <w:rPr>
          <w:color w:val="8C1D40"/>
        </w:rPr>
        <w:t>Direction: LONG | Current: $92.99</w:t>
      </w:r>
    </w:p>
    <w:p>
      <w:pPr>
        <w:pStyle w:val="SubHeading"/>
      </w:pPr>
      <w:r>
        <w:t>Summary</w:t>
      </w:r>
    </w:p>
    <w:p>
      <w:pPr>
        <w:pStyle w:val="ListBullet"/>
      </w:pPr>
      <w:r>
        <w:t>Thesis: Consensus FY2026 revenue of $9,553M embeds ~15.2% growth, but the Q1 2026 actual print of $2,353M combined with management's disclosed April 2026 QTD data (+21.6% FX-adjusted) implies a full-year run-rate materially above consensus; simultaneously, consensus is underestimating the gross margin headwind from the structural international mix shift plus aluminum cost escalation that management explicitly quantified as accelerating through H1 2026, creating a margin-compression offset that limits EPS upside even if revenue beats.</w:t>
      </w:r>
    </w:p>
    <w:p>
      <w:pPr>
        <w:pStyle w:val="ListBullet"/>
      </w:pPr>
      <w:r>
        <w:t>Next catalyst: Next quarterly earnings report (2026-08-06 (45 days))</w:t>
      </w:r>
    </w:p>
    <w:p>
      <w:pPr>
        <w:pStyle w:val="ListBullet"/>
      </w:pPr>
      <w:r>
        <w:t>Top risk: Pricing actions will offset aluminum and tariff cost headwinds</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Schema mismatch: peer comps fit 'consumer_staples' but the brief picked 'general'. The mechanical model will use generic defaults; final EPS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2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$0.58</w:t>
            </w:r>
          </w:p>
        </w:tc>
        <w:tc>
          <w:tcPr>
            <w:tcW w:type="dxa" w:w="1399"/>
            <w:tcBorders>
              <w:top w:val="single" w:sz="4" w:color="BDC3C7"/>
              <w:bottom w:val="single" w:sz="4" w:color="BDC3C7"/>
              <w:left w:val="single" w:sz="4" w:color="BDC3C7"/>
              <w:right w:val="single" w:sz="4" w:color="BDC3C7"/>
            </w:tcBorders>
          </w:tcPr>
          <w:p>
            <w:r>
              <w:t>$0.54 – $0.62</w:t>
            </w:r>
          </w:p>
        </w:tc>
        <w:tc>
          <w:tcPr>
            <w:tcW w:type="dxa" w:w="1399"/>
            <w:tcBorders>
              <w:top w:val="single" w:sz="4" w:color="BDC3C7"/>
              <w:bottom w:val="single" w:sz="4" w:color="BDC3C7"/>
              <w:left w:val="single" w:sz="4" w:color="BDC3C7"/>
              <w:right w:val="single" w:sz="4" w:color="BDC3C7"/>
            </w:tcBorders>
          </w:tcPr>
          <w:p>
            <w:r>
              <w:t>7</w:t>
            </w:r>
          </w:p>
        </w:tc>
        <w:tc>
          <w:tcPr>
            <w:tcW w:type="dxa" w:w="1399"/>
            <w:tcBorders>
              <w:top w:val="single" w:sz="4" w:color="BDC3C7"/>
              <w:bottom w:val="single" w:sz="4" w:color="BDC3C7"/>
              <w:left w:val="single" w:sz="4" w:color="BDC3C7"/>
              <w:right w:val="single" w:sz="4" w:color="BDC3C7"/>
            </w:tcBorders>
          </w:tcPr>
          <w:p>
            <w:r>
              <w:t>+15.1%</w:t>
            </w:r>
          </w:p>
        </w:tc>
        <w:tc>
          <w:tcPr>
            <w:tcW w:type="dxa" w:w="1399"/>
            <w:tcBorders>
              <w:top w:val="single" w:sz="4" w:color="BDC3C7"/>
              <w:bottom w:val="single" w:sz="4" w:color="BDC3C7"/>
              <w:left w:val="single" w:sz="4" w:color="BDC3C7"/>
              <w:right w:val="single" w:sz="4" w:color="BDC3C7"/>
            </w:tcBorders>
          </w:tcPr>
          <w:p>
            <w:r>
              <w:t>≈ -0.001</w:t>
            </w:r>
          </w:p>
        </w:tc>
        <w:tc>
          <w:tcPr>
            <w:tcW w:type="dxa" w:w="1399"/>
            <w:tcBorders>
              <w:top w:val="single" w:sz="4" w:color="BDC3C7"/>
              <w:bottom w:val="single" w:sz="4" w:color="BDC3C7"/>
              <w:left w:val="single" w:sz="4" w:color="BDC3C7"/>
              <w:right w:val="single" w:sz="4" w:color="BDC3C7"/>
            </w:tcBorders>
          </w:tcPr>
          <w:p>
            <w:r>
              <w:t>↑4 / ↓1</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$0.59</w:t>
            </w:r>
          </w:p>
        </w:tc>
        <w:tc>
          <w:tcPr>
            <w:tcW w:type="dxa" w:w="1399"/>
            <w:tcBorders>
              <w:top w:val="single" w:sz="4" w:color="BDC3C7"/>
              <w:bottom w:val="single" w:sz="4" w:color="BDC3C7"/>
              <w:left w:val="single" w:sz="4" w:color="BDC3C7"/>
              <w:right w:val="single" w:sz="4" w:color="BDC3C7"/>
            </w:tcBorders>
          </w:tcPr>
          <w:p>
            <w:r>
              <w:t>$0.56 – $0.61</w:t>
            </w:r>
          </w:p>
        </w:tc>
        <w:tc>
          <w:tcPr>
            <w:tcW w:type="dxa" w:w="1399"/>
            <w:tcBorders>
              <w:top w:val="single" w:sz="4" w:color="BDC3C7"/>
              <w:bottom w:val="single" w:sz="4" w:color="BDC3C7"/>
              <w:left w:val="single" w:sz="4" w:color="BDC3C7"/>
              <w:right w:val="single" w:sz="4" w:color="BDC3C7"/>
            </w:tcBorders>
          </w:tcPr>
          <w:p>
            <w:r>
              <w:t>7</w:t>
            </w:r>
          </w:p>
        </w:tc>
        <w:tc>
          <w:tcPr>
            <w:tcW w:type="dxa" w:w="1399"/>
            <w:tcBorders>
              <w:top w:val="single" w:sz="4" w:color="BDC3C7"/>
              <w:bottom w:val="single" w:sz="4" w:color="BDC3C7"/>
              <w:left w:val="single" w:sz="4" w:color="BDC3C7"/>
              <w:right w:val="single" w:sz="4" w:color="BDC3C7"/>
            </w:tcBorders>
          </w:tcPr>
          <w:p>
            <w:r>
              <w:t>+11.0%</w:t>
            </w:r>
          </w:p>
        </w:tc>
        <w:tc>
          <w:tcPr>
            <w:tcW w:type="dxa" w:w="1399"/>
            <w:tcBorders>
              <w:top w:val="single" w:sz="4" w:color="BDC3C7"/>
              <w:bottom w:val="single" w:sz="4" w:color="BDC3C7"/>
              <w:left w:val="single" w:sz="4" w:color="BDC3C7"/>
              <w:right w:val="single" w:sz="4" w:color="BDC3C7"/>
            </w:tcBorders>
          </w:tcPr>
          <w:p>
            <w:r>
              <w:t>≈ +0.004</w:t>
            </w:r>
          </w:p>
        </w:tc>
        <w:tc>
          <w:tcPr>
            <w:tcW w:type="dxa" w:w="1399"/>
            <w:tcBorders>
              <w:top w:val="single" w:sz="4" w:color="BDC3C7"/>
              <w:bottom w:val="single" w:sz="4" w:color="BDC3C7"/>
              <w:left w:val="single" w:sz="4" w:color="BDC3C7"/>
              <w:right w:val="single" w:sz="4" w:color="BDC3C7"/>
            </w:tcBorders>
          </w:tcPr>
          <w:p>
            <w:r>
              <w:t>↑1 / ↓5</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$2.26</w:t>
            </w:r>
          </w:p>
        </w:tc>
        <w:tc>
          <w:tcPr>
            <w:tcW w:type="dxa" w:w="1399"/>
            <w:tcBorders>
              <w:top w:val="single" w:sz="4" w:color="BDC3C7"/>
              <w:bottom w:val="single" w:sz="4" w:color="BDC3C7"/>
              <w:left w:val="single" w:sz="4" w:color="BDC3C7"/>
              <w:right w:val="single" w:sz="4" w:color="BDC3C7"/>
            </w:tcBorders>
          </w:tcPr>
          <w:p>
            <w:r>
              <w:t>$2.15 – $2.34</w:t>
            </w:r>
          </w:p>
        </w:tc>
        <w:tc>
          <w:tcPr>
            <w:tcW w:type="dxa" w:w="1399"/>
            <w:tcBorders>
              <w:top w:val="single" w:sz="4" w:color="BDC3C7"/>
              <w:bottom w:val="single" w:sz="4" w:color="BDC3C7"/>
              <w:left w:val="single" w:sz="4" w:color="BDC3C7"/>
              <w:right w:val="single" w:sz="4" w:color="BDC3C7"/>
            </w:tcBorders>
          </w:tcPr>
          <w:p>
            <w:r>
              <w:t>10</w:t>
            </w:r>
          </w:p>
        </w:tc>
        <w:tc>
          <w:tcPr>
            <w:tcW w:type="dxa" w:w="1399"/>
            <w:tcBorders>
              <w:top w:val="single" w:sz="4" w:color="BDC3C7"/>
              <w:bottom w:val="single" w:sz="4" w:color="BDC3C7"/>
              <w:left w:val="single" w:sz="4" w:color="BDC3C7"/>
              <w:right w:val="single" w:sz="4" w:color="BDC3C7"/>
            </w:tcBorders>
          </w:tcPr>
          <w:p>
            <w:r>
              <w:t>+16.6%</w:t>
            </w:r>
          </w:p>
        </w:tc>
        <w:tc>
          <w:tcPr>
            <w:tcW w:type="dxa" w:w="1399"/>
            <w:tcBorders>
              <w:top w:val="single" w:sz="4" w:color="BDC3C7"/>
              <w:bottom w:val="single" w:sz="4" w:color="BDC3C7"/>
              <w:left w:val="single" w:sz="4" w:color="BDC3C7"/>
              <w:right w:val="single" w:sz="4" w:color="BDC3C7"/>
            </w:tcBorders>
          </w:tcPr>
          <w:p>
            <w:r>
              <w:t>↓ -0.007</w:t>
            </w:r>
          </w:p>
        </w:tc>
        <w:tc>
          <w:tcPr>
            <w:tcW w:type="dxa" w:w="1399"/>
            <w:tcBorders>
              <w:top w:val="single" w:sz="4" w:color="BDC3C7"/>
              <w:bottom w:val="single" w:sz="4" w:color="BDC3C7"/>
              <w:left w:val="single" w:sz="4" w:color="BDC3C7"/>
              <w:right w:val="single" w:sz="4" w:color="BDC3C7"/>
            </w:tcBorders>
          </w:tcPr>
          <w:p>
            <w:r>
              <w:t>↑6 / ↓2</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$2.56</w:t>
            </w:r>
          </w:p>
        </w:tc>
        <w:tc>
          <w:tcPr>
            <w:tcW w:type="dxa" w:w="1399"/>
            <w:tcBorders>
              <w:top w:val="single" w:sz="4" w:color="BDC3C7"/>
              <w:bottom w:val="single" w:sz="4" w:color="BDC3C7"/>
              <w:left w:val="single" w:sz="4" w:color="BDC3C7"/>
              <w:right w:val="single" w:sz="4" w:color="BDC3C7"/>
            </w:tcBorders>
          </w:tcPr>
          <w:p>
            <w:r>
              <w:t>$2.41 – $2.67</w:t>
            </w:r>
          </w:p>
        </w:tc>
        <w:tc>
          <w:tcPr>
            <w:tcW w:type="dxa" w:w="1399"/>
            <w:tcBorders>
              <w:top w:val="single" w:sz="4" w:color="BDC3C7"/>
              <w:bottom w:val="single" w:sz="4" w:color="BDC3C7"/>
              <w:left w:val="single" w:sz="4" w:color="BDC3C7"/>
              <w:right w:val="single" w:sz="4" w:color="BDC3C7"/>
            </w:tcBorders>
          </w:tcPr>
          <w:p>
            <w:r>
              <w:t>10</w:t>
            </w:r>
          </w:p>
        </w:tc>
        <w:tc>
          <w:tcPr>
            <w:tcW w:type="dxa" w:w="1399"/>
            <w:tcBorders>
              <w:top w:val="single" w:sz="4" w:color="BDC3C7"/>
              <w:bottom w:val="single" w:sz="4" w:color="BDC3C7"/>
              <w:left w:val="single" w:sz="4" w:color="BDC3C7"/>
              <w:right w:val="single" w:sz="4" w:color="BDC3C7"/>
            </w:tcBorders>
          </w:tcPr>
          <w:p>
            <w:r>
              <w:t>+13.0%</w:t>
            </w:r>
          </w:p>
        </w:tc>
        <w:tc>
          <w:tcPr>
            <w:tcW w:type="dxa" w:w="1399"/>
            <w:tcBorders>
              <w:top w:val="single" w:sz="4" w:color="BDC3C7"/>
              <w:bottom w:val="single" w:sz="4" w:color="BDC3C7"/>
              <w:left w:val="single" w:sz="4" w:color="BDC3C7"/>
              <w:right w:val="single" w:sz="4" w:color="BDC3C7"/>
            </w:tcBorders>
          </w:tcPr>
          <w:p>
            <w:r>
              <w:t>↑ +0.009</w:t>
            </w:r>
          </w:p>
        </w:tc>
        <w:tc>
          <w:tcPr>
            <w:tcW w:type="dxa" w:w="1399"/>
            <w:tcBorders>
              <w:top w:val="single" w:sz="4" w:color="BDC3C7"/>
              <w:bottom w:val="single" w:sz="4" w:color="BDC3C7"/>
              <w:left w:val="single" w:sz="4" w:color="BDC3C7"/>
              <w:right w:val="single" w:sz="4" w:color="BDC3C7"/>
            </w:tcBorders>
          </w:tcPr>
          <w:p>
            <w:r>
              <w:t>↑7 / ↓0</w:t>
            </w:r>
          </w:p>
        </w:tc>
      </w:tr>
    </w:tbl>
    <w:p>
      <w:r>
        <w:t>Revenue consensus: Q $2.42B (+14.4%)  |  Q+1 $2.43B (+10.7%)  |  FY $9.55B (+15.2%)  |  FY+1 $10.34B (+8.3%)</w:t>
      </w:r>
    </w:p>
    <w:p>
      <w:r>
        <w:t>Price targets: Mean $89.69  |  Median $93.00  |  Range $64.00–$103.00  |  Current $92.87 (-3.4% to mean)</w:t>
      </w:r>
    </w:p>
    <w:p>
      <w:r>
        <w:t>Analyst ratings (n=27): Strong Buy 3 · Buy 12 · Hold 11 · Sell 1 · Strong Sell 0  ·  56% bullish</w:t>
      </w:r>
    </w:p>
    <w:p>
      <w:r>
        <w:t>Next earnings: 2026-08-06 (45d out)  ·  EPS $0.58 ($0.55–$0.62)  ·  Rev $2.42B</w:t>
      </w:r>
    </w:p>
    <w:p>
      <w:pPr>
        <w:pStyle w:val="SectionHeading"/>
      </w:pPr>
      <w:r>
        <w:t>1. Research Synthesis</w:t>
      </w:r>
    </w:p>
    <w:p>
      <w:r>
        <w:t>Monster's Q1 2026 print was genuinely exceptional — $2,353M in net sales, +26.9% YoY, crossing the $2B quarterly threshold for the first time in company history. To assess whether this is a durable re-rating or a statistical artifact, the sequential trajectory discipline is essential. Q1 2026 vs. Q4 2025: $2,353M vs. $2,131M = +10.4% sequential. Prior year: Q1 2025 vs. Q4 2024: $1,855M vs. $1,812M = +2.4% sequential. The delta is +8.0 percentage points above the prior-year seasonal pattern — this is not a seasonal normalization; Q1 2026 was genuinely stronger than the seasonal baseline would predict. The YoY comparison is also clean: Q1 2025 was the weakest quarter of FY2025 at -2.3% YoY, so Q1 2026 is lapping an easy comp. However, the April 2026 QTD data disclosed on the Q1 2026 call — +21.6% FX-adjusted YoY — suggests the momentum has not fully reverted even as the comp base normalizes. This is the first piece of evidence that consensus FY2026 revenue of $9,553M may be too low.</w:t>
      </w:r>
    </w:p>
    <w:p>
      <w:pPr>
        <w:pStyle w:val="ListBullet"/>
      </w:pPr>
      <w:r>
        <w:rPr>
          <w:i/>
        </w:rPr>
        <w:t>→ Research confirms: SEC 10-Q filing confirms Q1 2026 net sales of $2,353,291 thousand ($2.353B), representing 26.9% YoY growth from $1,854,558 thousand in Q1 2025. First fiscal first quarter to exceed $2B threshold. (sec.gov)</w:t>
      </w:r>
    </w:p>
    <w:p>
      <w:pPr>
        <w:pStyle w:val="ListBullet"/>
      </w:pPr>
      <w:r>
        <w:rPr>
          <w:i/>
        </w:rPr>
        <w:t>→ Research confirms: Monster's Q1 2026 earnings call disclosed April 2026 sales rose 24.4% YoY on a reported basis with FX-adjusted growth of 21.6%, exactly matching the verbatim claim. (fool.com)</w:t>
      </w:r>
    </w:p>
    <w:p>
      <w:r>
        <w:t>To triangulate the full-year revenue picture, consider the quarterly build. Q1 2026 actual: $2,353M. If Q2-Q4 2026 grow at the consensus-implied rate of approximately 10-11% YoY (backing into the $9,553M full-year number from Q1 actual), that would imply Q2 2026 of ~$2,090M, Q3 2026 of ~$2,440M, and Q4 2026 of ~$2,360M — a sequential deceleration from Q1's $2,353M to Q2's $2,090M that would be anomalous given the April QTD data running at +21.6%. Alternatively, if Q2-Q4 sustain ~15% YoY growth (consistent with the April QTD signal), the full-year lands at approximately $9,800-9,900M, roughly $250-350M above the consensus midpoint of $9,553M. The consensus appears to be modeling a sharp deceleration in Q2 that is not supported by the most recent QTD data management disclosed. This is the revenue edge: our FY2026 revenue estimate of approximately $9,850M vs. consensus $9,553M.</w:t>
      </w:r>
    </w:p>
    <w:p>
      <w:pPr>
        <w:pStyle w:val="PullQuote"/>
      </w:pPr>
      <w:r>
        <w:t>Counter: the analyst claims April 2026 QTD data of +21.6% FX-adjusted implies a full-year run-rate materially above consensus and constitutes the analyst's key informational edge — but The edge is illusory on two grounds. First, +21.6% FX-adjusted in April is a deceleration from Q1's 22.1% FX-adjusted print — the analyst presents it as corroborating bullish momentum, but it is actually the first data point of sequential softening in the underlying growth rate. Second, the FX tailwind that inflated Q1 reported growth (the press release shows $89.3M favorable FX impact on…</w:t>
      </w:r>
    </w:p>
    <w:p>
      <w:r>
        <w:t>The gross margin story is where the analysis gets more nuanced and where the bull case faces a real structural headwind. Monster's GAAP gross margin has been on a multi-year recovery: Q2 2022 trough of 47.1% → Q1 2025 peak of 56.5% → Q1 2026 of 55.0%. The Q1 2026 sequential decline from Q4 2025's 55.5% is modest in isolation, but management's commentary on the Q1 2026 call was unusually specific about the mechanism: 'the first quarter gross margins had a large mixed headwind and a smaller out-of-orbit production cost headwind... 40% of our sales came from international markets... we had to move product out of orbit, which is not something we like to do.' On the Q4 2025 call, CFO Kelly disclosed that aluminum/LME costs increased 'in excess of 50%' from Q4 2025 to Q1 2026, and that 'Q1 will probably be a little bit higher than what we saw in this quarter, and Q2 will be a little bit higher than that.' This is a multi-quarter escalating headwind that management has explicitly flagged — yet the consensus EPS of $2.26 for FY2026 implies an operating margin of approximately 29-30%, roughly in line with FY2025's 29.2%. That seems optimistic given the disclosed cost trajectory.</w:t>
      </w:r>
    </w:p>
    <w:p>
      <w:pPr>
        <w:pStyle w:val="ListBullet"/>
      </w:pPr>
      <w:r>
        <w:rPr>
          <w:i/>
        </w:rPr>
        <w:t>→ Research [UPDATES]: CFO Kelly (actually Hilton Schlosberg, Vice Chairman/Co-CEO) disclosed LME increased 'in excess of 50%' from Q4 to Q5 (not Q4 2025 to Q1 2026 as stated). Forward guidance confirmed: Q1 higher than Q4, Q2 higher than Q1. However, Q1 2026 actual results showed aluminum headwind of just under 1% of margin, contradicting the bear case severity. (fool.com)</w:t>
      </w:r>
    </w:p>
    <w:p>
      <w:r>
        <w:t>To bridge the margin math: FY2025 gross margin was 55.8% on $8,294M revenue = $4,632M gross profit. If FY2026 revenue is $9,850M (our estimate) and gross margin compresses 80-100bps to approximately 54.8-55.0% (reflecting aluminum headwinds through H1 2026 partially offset by pricing actions and H2 lapping), gross profit would be approximately $5,398-5,418M. Operating expenses (SG&amp;A + D&amp;A) in FY2025 were $4,632M - $2,419M = $2,213M, or 26.7% of revenue. If opex grows at approximately 10-12% (consistent with the digital transformation investments and performance-based compensation increases management cited on the Q4 2025 call — specifically the $12.9M increase in incentive compensation and $6.6M in digital transformation expenses), opex reaches approximately $2,434-2,479M. That implies operating income of approximately $2,919-2,984M and an operating margin of approximately 29.6-30.3% — modestly above FY2025 but below what a simple revenue-growth extrapolation would suggest. The key tension: revenue upside from international acceleration simultaneously compresses gross margins, partially self-canceling the EPS benefit.</w:t>
      </w:r>
    </w:p>
    <w:p>
      <w:r>
        <w:t>The aluminum cost headwind deserves specific quantification. Management disclosed on the Q1 2026 call that the aluminum headwind in Q1 was 'just under 1% of margin' — approximately 95-100bps of gross margin impact. On $2,353M of Q1 revenue, that is approximately $22-24M of incremental aluminum cost in a single quarter. If Q2 is 'a little bit higher' (management's language), call it 110-120bps, and H2 laps the elevated 2025 aluminum prices (management explicitly said 'the rest of the year is overlapping on high aluminum prices in 2025'), the full-year aluminum headwind is approximately $70-85M vs. FY2025. Management has a hedging program in place and is pursuing pricing actions (a U.S. price increase was discussed in Q2 2025 and described as 'in discussions with bottlers and customers' on the Q4 2025 call), but the net impact is a real gross margin headwind of 50-80bps for FY2026 that consensus models may be underweighting.</w:t>
      </w:r>
    </w:p>
    <w:p>
      <w:pPr>
        <w:pStyle w:val="ListBullet"/>
      </w:pPr>
      <w:r>
        <w:rPr>
          <w:i/>
        </w:rPr>
        <w:t>→ Research: Monster CEO explicitly distinguishes tariff-driven Midwest premium increases from LME spot prices, confirming the missing_angle: tariffs affect can costs through premium surcharges, not base metal pricing. Monster quantifies impact as 'modest' but does not disclose dollar exposure. (supplychaindive.com)</w:t>
      </w:r>
    </w:p>
    <w:p>
      <w:r>
        <w:t>On the insider activity front, the Form 4 data reveals a notable pattern that warrants attention. Chief Strategy Officer Emelie Tirre sold $8.48M worth of shares (98,700 shares at avg $85.94) in May 2026, liquidating 57.9% of her pre-sale stake — a substantial disposition by the company's top strategy executive. CEO of EMEA Guy Carling sold $1.73M (19,000 shares at avg $90.90) in June 2026, liquidating 46.5% of his stake. CFO Thomas Kelly sold $1.23M across two filings in March-May 2026. Director Mark Hall sold $4.63M (54,000 shares). The aggregate insider selling across four senior insiders totals approximately $16M in a 3-month window, with the CSO and EMEA CEO each liquidating nearly half their stakes. This is not routine RSU-vest tax withholding — these are open-market dispositions (Form 4 code S). The Janus Henderson 13F simultaneously shows a 32.4% reduction in their position (5.5M shares sold). Taken together, this is a meaningful insider-selling signal at a stock price of $85-91, occurring just after a strong Q1 print. The bear-case read: insiders who have the most visibility into Q2 and H2 2026 execution are reducing exposure at current prices. The bull-case read: these are diversification sales after a multi-year stock run. The honest read: the magnitude (CSO liquidating 58% of stake) is unusual enough to warrant monitoring, and it is a mild negative signal for the near-term setup.</w:t>
      </w:r>
    </w:p>
    <w:p>
      <w:pPr>
        <w:pStyle w:val="ListBullet"/>
      </w:pPr>
      <w:r>
        <w:rPr>
          <w:i/>
        </w:rPr>
        <w:t>→ Research [CONTRADICTS]: Form 4 filings confirm 98,700 shares sold May 13–14, 2026 at weighted average prices of $85.96–$85.74 (~$8.48M), but the disposition was 32% of pre-sale stake, not 57.9%. Post-sale holdings were 71,763 shares after exercising 90,948 option shares. (stocktitan.net)</w:t>
      </w:r>
    </w:p>
    <w:p>
      <w:pPr>
        <w:pStyle w:val="ListBullet"/>
      </w:pPr>
      <w:r>
        <w:rPr>
          <w:i/>
        </w:rPr>
        <w:t>→ Research confirms: Janus Henderson reduced MNST position by 32.4% in Q4 2025 (4th quarter), selling 5,565,130 shares per most recent 13F filing. (dailypolitical.com)</w:t>
      </w:r>
    </w:p>
    <w:p>
      <w:r>
        <w:t>The Spruce Point short report (April 2025) is in the corpus but the excerpt is truncated — only the thumbnail image URL is visible, not the substantive allegations. Without the specific claims, the standard analytical framework applies: Spruce Point typically focuses on accounting quality, channel-stuffing, or management credibility issues. Given that Monster's revenue growth has re-accelerated sharply in 2025-2026 (from near-zero YoY in Q1 2025 to +26.9% in Q1 2026), any channel-stuffing allegation from April 2025 would need to be weighed against the sustained multi-quarter acceleration — a genuine channel-stuffing episode typically reverses within 1-2 quarters, not sustains for 4+ quarters. The Spruce Point thesis, whatever its specific claims, appears to have been wrong directionally on the revenue trajectory. However, the margin compression story (which Spruce Point short reports often focus on) is a real and management-acknowledged dynamic.</w:t>
      </w:r>
    </w:p>
    <w:p>
      <w:pPr>
        <w:pStyle w:val="ListBullet"/>
      </w:pPr>
      <w:r>
        <w:rPr>
          <w:i/>
        </w:rPr>
        <w:t>→ Research: Spruce Point report (April 8, 2025) identifies accounting and auditor-change concerns post-2023, including financial reporting issues and governance gaps. Monster denies allegations as false. Report does not explicitly allege channel stuffing but raises quality-of-earnings questions material to the brief's narrative gap. (sprucepointcap.com)</w:t>
      </w:r>
    </w:p>
    <w:p>
      <w:r>
        <w:t>The ownership structure adds one important signal: Coca-Cola holds 18.0% of MNST via a 13D filing (strategic/activist classification). This is not passive index ownership — it is a strategic partner with board representation rights under the Transaction Agreement. The Coca-Cola relationship is simultaneously Monster's greatest distribution asset and a potential governance constraint. The 13D filing from 2018 references board director nomination rights through June 2019, but the ongoing 18% stake implies continued strategic alignment. Vanguard's 13G shows 6.12% passive ownership. The Vanguard 13F data in the institutional crowding section shows a -$4,080M reduction (100% exit) in Q4 2025 — this is a significant passive-index rebalancing event, not a fundamental signal, but it does explain some of the float dynamics. The net ownership picture: ~28% closely held (Coke + insiders), ~69% institutional, ~3% retail — a relatively concentrated ownership structure that limits the float available for short-covering or momentum-driven price discovery.</w:t>
      </w:r>
    </w:p>
    <w:p>
      <w:pPr>
        <w:pStyle w:val="ListBullet"/>
      </w:pPr>
      <w:r>
        <w:rPr>
          <w:i/>
        </w:rPr>
        <w:t>→ Research [CONTRADICTS]: Coca-Cola's current stake is 19.35–19.6%, not 18.0%. The 2015 strategic partnership granted two board directors (not 13D nomination rights), and board representation remains active under the ongoing partnership agreement. (foodnavigator-usa.com)</w:t>
      </w:r>
    </w:p>
    <w:p>
      <w:r>
        <w:t>Synthesizing the full picture: Monster is a genuinely high-quality business with durable competitive advantages (Coke distribution, brand equity, innovation pipeline) executing well in a healthy category. The Q1 2026 print was exceptional and the April QTD data suggests Q2 is tracking above consensus. Our FY2026 revenue estimate of ~$9,850M is approximately $300M above the consensus midpoint of $9,553M, driven by the international acceleration that management has documented with specific market share data (EMEA +22.7% vs. category +14.4%, Brazil 43.8% share, Japan 58.6% share). However, the same international acceleration that drives revenue upside also compresses gross margins — management has been unusually transparent about this mechanism ('you don't bank percentages, you bank actual dollars'). The net EPS impact of our revenue beat partially offsets against our margin compression view, leaving our FY2026 EPS estimate of approximately $2.35-2.40 modestly above the consensus $2.26 but below what a pure revenue-beat extrapolation would imply. The key risk to the bull case is that aluminum costs escalate faster than the hedging program and pricing actions can offset, and that the international mix shift continues to dilute reported margins even as it grows absolute dollars.</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$0.58</w:t>
            </w:r>
          </w:p>
        </w:tc>
        <w:tc>
          <w:tcPr>
            <w:tcW w:type="dxa" w:w="3264"/>
            <w:tcBorders>
              <w:top w:val="single" w:sz="4" w:color="BDC3C7"/>
              <w:bottom w:val="single" w:sz="4" w:color="BDC3C7"/>
              <w:left w:val="single" w:sz="4" w:color="BDC3C7"/>
              <w:right w:val="single" w:sz="4" w:color="BDC3C7"/>
            </w:tcBorders>
          </w:tcPr>
          <w:p>
            <w:r>
              <w:t>$2,417M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$0.59</w:t>
            </w:r>
          </w:p>
        </w:tc>
        <w:tc>
          <w:tcPr>
            <w:tcW w:type="dxa" w:w="3264"/>
            <w:tcBorders>
              <w:top w:val="single" w:sz="4" w:color="BDC3C7"/>
              <w:bottom w:val="single" w:sz="4" w:color="BDC3C7"/>
              <w:left w:val="single" w:sz="4" w:color="BDC3C7"/>
              <w:right w:val="single" w:sz="4" w:color="BDC3C7"/>
            </w:tcBorders>
          </w:tcPr>
          <w:p>
            <w:r>
              <w:t>$2,433M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$2.26</w:t>
            </w:r>
          </w:p>
        </w:tc>
        <w:tc>
          <w:tcPr>
            <w:tcW w:type="dxa" w:w="3264"/>
            <w:tcBorders>
              <w:top w:val="single" w:sz="4" w:color="BDC3C7"/>
              <w:bottom w:val="single" w:sz="4" w:color="BDC3C7"/>
              <w:left w:val="single" w:sz="4" w:color="BDC3C7"/>
              <w:right w:val="single" w:sz="4" w:color="BDC3C7"/>
            </w:tcBorders>
          </w:tcPr>
          <w:p>
            <w:r>
              <w:t>$9,553M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$2.56</w:t>
            </w:r>
          </w:p>
        </w:tc>
        <w:tc>
          <w:tcPr>
            <w:tcW w:type="dxa" w:w="3264"/>
            <w:tcBorders>
              <w:top w:val="single" w:sz="4" w:color="BDC3C7"/>
              <w:bottom w:val="single" w:sz="4" w:color="BDC3C7"/>
              <w:left w:val="single" w:sz="4" w:color="BDC3C7"/>
              <w:right w:val="single" w:sz="4" w:color="BDC3C7"/>
            </w:tcBorders>
          </w:tcPr>
          <w:p>
            <w:r>
              <w:t>$10,342M</w:t>
            </w:r>
          </w:p>
        </w:tc>
      </w:tr>
    </w:tbl>
    <w:p>
      <w:pPr>
        <w:pStyle w:val="SubHeading"/>
      </w:pPr>
      <w:r>
        <w:t>Management guidance:</w:t>
      </w:r>
    </w:p>
    <w:p>
      <w:pPr>
        <w:pStyle w:val="ListBullet"/>
      </w:pPr>
      <w:r>
        <w:t>Global Off Trade Retail Energy Drink Market Size Third Party Forecast (2025): $87.4B  — Deck p.6</w:t>
      </w:r>
    </w:p>
    <w:p>
      <w:pPr>
        <w:pStyle w:val="ListBullet"/>
      </w:pPr>
      <w:r>
        <w:t>Global Off Trade Retail Energy Drink Market Cagr Third Party Forecast (2025-2030): 8.0% CAGR  — Deck p.6</w:t>
      </w:r>
    </w:p>
    <w:p>
      <w:pPr>
        <w:pStyle w:val="ListBullet"/>
      </w:pPr>
      <w:r>
        <w:t>Global Off Trade Retail Energy Drink Market Size Third Party Forecast (2030): $128.2B  — Deck p.6</w:t>
      </w:r>
    </w:p>
    <w:p>
      <w:pPr>
        <w:pStyle w:val="ListBullet"/>
      </w:pPr>
      <w:r>
        <w:t>Monster Brand Distribution Footprint Total Countries And Territories (As of 11/12/2025): 138 countries and territories  — Deck p.5</w:t>
      </w:r>
    </w:p>
    <w:p>
      <w:pPr>
        <w:pStyle w:val="ListBullet"/>
      </w:pPr>
      <w:r>
        <w:t>Strategic Brands Distribution Footprint (As of 11/12/2025): 57 countries and territories  — Deck p.5</w:t>
      </w:r>
    </w:p>
    <w:p>
      <w:pPr>
        <w:pStyle w:val="ListBullet"/>
      </w:pPr>
      <w:r>
        <w:t>Reign Brand Distribution Footprint (As of 11/12/2025): 27 countries and territories  — Deck p.5</w:t>
      </w:r>
    </w:p>
    <w:p>
      <w:pPr>
        <w:pStyle w:val="ListBullet"/>
      </w:pPr>
      <w:r>
        <w:t>Affordable Energy Predator Fury Distribution Footprint (As of 11/12/2025): 36 countries and territories  — Deck p.5</w:t>
      </w:r>
    </w:p>
    <w:p>
      <w:pPr>
        <w:pStyle w:val="ListBullet"/>
      </w:pPr>
      <w:r>
        <w:t>Total Company Energy Drink Distribution Footprint All Brands Combined (As of 11/12/2025): 158 countries and territories worldwide  — Deck p.5</w:t>
      </w:r>
    </w:p>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$9.6B</w:t>
            </w:r>
          </w:p>
        </w:tc>
        <w:tc>
          <w:tcPr>
            <w:tcW w:type="dxa" w:w="1632"/>
            <w:tcBorders>
              <w:top w:val="single" w:sz="4" w:color="BDC3C7"/>
              <w:bottom w:val="single" w:sz="4" w:color="BDC3C7"/>
              <w:left w:val="single" w:sz="4" w:color="BDC3C7"/>
              <w:right w:val="single" w:sz="4" w:color="BDC3C7"/>
            </w:tcBorders>
          </w:tcPr>
          <w:p>
            <w:r>
              <w:t>$9.8B</w:t>
            </w:r>
          </w:p>
        </w:tc>
        <w:tc>
          <w:tcPr>
            <w:tcW w:type="dxa" w:w="1632"/>
            <w:tcBorders>
              <w:top w:val="single" w:sz="4" w:color="BDC3C7"/>
              <w:bottom w:val="single" w:sz="4" w:color="BDC3C7"/>
              <w:left w:val="single" w:sz="4" w:color="BDC3C7"/>
              <w:right w:val="single" w:sz="4" w:color="BDC3C7"/>
            </w:tcBorders>
          </w:tcPr>
          <w:p>
            <w:r>
              <w:t>+0.12</w:t>
            </w:r>
          </w:p>
        </w:tc>
        <w:tc>
          <w:tcPr>
            <w:tcW w:type="dxa" w:w="1632"/>
            <w:tcBorders>
              <w:top w:val="single" w:sz="4" w:color="BDC3C7"/>
              <w:bottom w:val="single" w:sz="4" w:color="BDC3C7"/>
              <w:left w:val="single" w:sz="4" w:color="BDC3C7"/>
              <w:right w:val="single" w:sz="4" w:color="BDC3C7"/>
            </w:tcBorders>
          </w:tcPr>
          <w:p>
            <w:r>
              <w:t>non_public_inference</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$2.26</w:t>
            </w:r>
          </w:p>
        </w:tc>
        <w:tc>
          <w:tcPr>
            <w:tcW w:type="dxa" w:w="1632"/>
            <w:tcBorders>
              <w:top w:val="single" w:sz="4" w:color="BDC3C7"/>
              <w:bottom w:val="single" w:sz="4" w:color="BDC3C7"/>
              <w:left w:val="single" w:sz="4" w:color="BDC3C7"/>
              <w:right w:val="single" w:sz="4" w:color="BDC3C7"/>
            </w:tcBorders>
          </w:tcPr>
          <w:p>
            <w:r>
              <w:t>$2.18</w:t>
            </w:r>
          </w:p>
        </w:tc>
        <w:tc>
          <w:tcPr>
            <w:tcW w:type="dxa" w:w="1632"/>
            <w:tcBorders>
              <w:top w:val="single" w:sz="4" w:color="BDC3C7"/>
              <w:bottom w:val="single" w:sz="4" w:color="BDC3C7"/>
              <w:left w:val="single" w:sz="4" w:color="BDC3C7"/>
              <w:right w:val="single" w:sz="4" w:color="BDC3C7"/>
            </w:tcBorders>
          </w:tcPr>
          <w:p>
            <w:r>
              <w:t>-0.14</w:t>
            </w:r>
          </w:p>
        </w:tc>
        <w:tc>
          <w:tcPr>
            <w:tcW w:type="dxa" w:w="1632"/>
            <w:tcBorders>
              <w:top w:val="single" w:sz="4" w:color="BDC3C7"/>
              <w:bottom w:val="single" w:sz="4" w:color="BDC3C7"/>
              <w:left w:val="single" w:sz="4" w:color="BDC3C7"/>
              <w:right w:val="single" w:sz="4" w:color="BDC3C7"/>
            </w:tcBorders>
          </w:tcPr>
          <w:p>
            <w:r>
              <w:t>synthesis</w:t>
            </w:r>
          </w:p>
        </w:tc>
      </w:tr>
      <w:tr>
        <w:tc>
          <w:tcPr>
            <w:tcW w:type="dxa" w:w="1632"/>
            <w:tcBorders>
              <w:top w:val="single" w:sz="4" w:color="BDC3C7"/>
              <w:bottom w:val="single" w:sz="4" w:color="BDC3C7"/>
              <w:left w:val="single" w:sz="4" w:color="BDC3C7"/>
              <w:right w:val="single" w:sz="4" w:color="BDC3C7"/>
            </w:tcBorders>
          </w:tcPr>
          <w:p>
            <w:r>
              <w:t>3</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$10.3B</w:t>
            </w:r>
          </w:p>
        </w:tc>
        <w:tc>
          <w:tcPr>
            <w:tcW w:type="dxa" w:w="1632"/>
            <w:tcBorders>
              <w:top w:val="single" w:sz="4" w:color="BDC3C7"/>
              <w:bottom w:val="single" w:sz="4" w:color="BDC3C7"/>
              <w:left w:val="single" w:sz="4" w:color="BDC3C7"/>
              <w:right w:val="single" w:sz="4" w:color="BDC3C7"/>
            </w:tcBorders>
          </w:tcPr>
          <w:p>
            <w:r>
              <w:t>$11.1B</w:t>
            </w:r>
          </w:p>
        </w:tc>
        <w:tc>
          <w:tcPr>
            <w:tcW w:type="dxa" w:w="1632"/>
            <w:tcBorders>
              <w:top w:val="single" w:sz="4" w:color="BDC3C7"/>
              <w:bottom w:val="single" w:sz="4" w:color="BDC3C7"/>
              <w:left w:val="single" w:sz="4" w:color="BDC3C7"/>
              <w:right w:val="single" w:sz="4" w:color="BDC3C7"/>
            </w:tcBorders>
          </w:tcPr>
          <w:p>
            <w:r>
              <w:t>+0.22</w:t>
            </w:r>
          </w:p>
        </w:tc>
        <w:tc>
          <w:tcPr>
            <w:tcW w:type="dxa" w:w="1632"/>
            <w:tcBorders>
              <w:top w:val="single" w:sz="4" w:color="BDC3C7"/>
              <w:bottom w:val="single" w:sz="4" w:color="BDC3C7"/>
              <w:left w:val="single" w:sz="4" w:color="BDC3C7"/>
              <w:right w:val="single" w:sz="4" w:color="BDC3C7"/>
            </w:tcBorders>
          </w:tcPr>
          <w:p>
            <w:r>
              <w:t>cross_corpus</w:t>
            </w:r>
          </w:p>
        </w:tc>
      </w:tr>
    </w:tbl>
    <w:p>
      <w:pPr>
        <w:pStyle w:val="SubHeading"/>
      </w:pPr>
      <w:r>
        <w:t>Claim 1 — consensus_fy_revenue</w:t>
      </w:r>
    </w:p>
    <w:p>
      <w:r>
        <w:t>Q1 2026 actual of $2,353M (+26.9% YoY) plus management's disclosure of April 2026 QTD running +21.6% FX-adjusted implies a full-year run-rate of $9.8-10.0B, approximately $300M above the consensus midpoint of $9,553M. Consensus appears to be modeling a sharp Q2 deceleration that is inconsistent with the most recent QTD data.</w:t>
      </w:r>
    </w:p>
    <w:p>
      <w:r>
        <w:t>Street anchor: $9.6B (yfinance consensus FY2026) → Our view: $9.8B</w:t>
      </w:r>
    </w:p>
    <w:p>
      <w:pPr>
        <w:pStyle w:val="PullQuote"/>
      </w:pPr>
      <w:r>
        <w:t>“net sales crossing the $2 billion threshold for the first time in the company's history for a fiscal first quarter. Sales increased by double digits compared to the prior year in all geographic regions”  (transcript)</w:t>
      </w:r>
    </w:p>
    <w:p>
      <w:pPr>
        <w:pStyle w:val="PullQuote"/>
      </w:pPr>
      <w:r>
        <w:t>“April 2026 sales on a non-foreign currency-adjusted basis were approximately 24.4% higher than the comparable April 2025 sales... on a foreign currency-adjusted basis, April 2026 sales were approximately 21.6% higher than the comparable April 2025 sales”  (transcript)</w:t>
      </w:r>
    </w:p>
    <w:p>
      <w:r>
        <w:t>Why not consensus: Sell-side analysts building FY2026 models before the Q1 print anchored on the prior-year growth trajectory (~11-17% range); the Q1 2026 beat and April QTD disclosure together imply a higher full-year run-rate that requires reconciling the quarterly build against the full-year consensus number — a step most top-down models skip when the quarterly guide is not explicitly provided by management.</w:t>
      </w:r>
    </w:p>
    <w:p>
      <w:pPr>
        <w:pStyle w:val="KillCriteria"/>
      </w:pPr>
      <w:r>
        <w:t>Falsifier: If Q2 2026 revenue prints below $2,300M (implying a sharp sequential deceleration from Q1's $2,353M) or management explicitly guides to a H2 slowdown on the Q2 call, the revenue upside thesis breaks.</w:t>
      </w:r>
    </w:p>
    <w:p>
      <w:pPr>
        <w:pStyle w:val="SubHeading"/>
      </w:pPr>
      <w:r>
        <w:t>Claim 2 — consensus_fy_eps</w:t>
      </w:r>
    </w:p>
    <w:p>
      <w:r>
        <w:t>Consensus FY2026 EPS of $2.26 implies an operating margin roughly in line with FY2025's 29.2%, but management explicitly disclosed on the Q4 2025 call that aluminum/LME costs increased 'in excess of 50%' from Q4 to Q1 2026, that Q1 2026 gross margin was already pressured by ~95-100bps of aluminum headwind plus out-of-orbit production costs, and that Q2 would be 'a little bit higher' — a multi-quarter escalating cost headwind that consensus appears to be underweighting relative to the pricing offset.</w:t>
      </w:r>
    </w:p>
    <w:p>
      <w:r>
        <w:t>Street anchor: $2.26 (yfinance consensus FY2026) → Our view: $2.18</w:t>
      </w:r>
    </w:p>
    <w:p>
      <w:pPr>
        <w:pStyle w:val="PullQuote"/>
      </w:pPr>
      <w:r>
        <w:t>“from Q4 to Q5, the LME increased by, including Midwest premium, increased by in excess of 50%... I think Q1 will probably be a little bit higher than what we saw in this quarter, and Q2 will be a little bit higher than that”  (transcript)</w:t>
      </w:r>
    </w:p>
    <w:p>
      <w:pPr>
        <w:pStyle w:val="PullQuote"/>
      </w:pPr>
      <w:r>
        <w:t>“the first quarter gross margins had a large mixed headwind and a smaller out-of-orbit production cost headwind... 40% of our sales came from international markets... the aluminum headwind in the quarter was just under 1% of margin”  (transcript)</w:t>
      </w:r>
    </w:p>
    <w:p>
      <w:r>
        <w:t>Why not consensus: Sell-side analysts heard the aluminum headwind disclosure on each individual call but modeled it as a transient Q1-Q2 issue that resolves in H2 via lapping; the multi-quarter pattern of management flagging escalating costs across Q2 2025, Q3 2025, Q4 2025, and Q1 2026 calls — combined with the structural international mix shift that management explicitly links to gross margin dilution — creates a more persistent compression than single-quarter models capture. Additionally, the revenue upside from international acceleration and the margin compression from international mix are causally linked, a dynamic that top-down EPS models miss.</w:t>
      </w:r>
    </w:p>
    <w:p>
      <w:pPr>
        <w:pStyle w:val="KillCriteria"/>
      </w:pPr>
      <w:r>
        <w:t>Falsifier: If Q2 2026 gross margin prints above 55.5% (recovering toward Q4 2025 levels) or management announces a broad U.S. price increase that fully offsets aluminum costs, the margin compression thesis breaks.</w:t>
      </w:r>
    </w:p>
    <w:p>
      <w:pPr>
        <w:pStyle w:val="SubHeading"/>
      </w:pPr>
      <w:r>
        <w:t>Claim 3 — consensus_next_fy_revenue</w:t>
      </w:r>
    </w:p>
    <w:p>
      <w:r>
        <w:t>Consensus FY2027 revenue growth of only 8.3% appears to dramatically underestimate the international expansion runway: management disclosed EMEA growing +22.7% YTD vs. category +14.4%, LATAM category CAGR of 21.6% (2020-2025), India category CAGR of 67%, and a 2026 pipeline of 17 new Valentino Rossi Zero Sugar market launches plus extensive U.S. innovation — all pointing to a structural growth rate well above the 8.3% FY2027 consensus implies.</w:t>
      </w:r>
    </w:p>
    <w:p>
      <w:r>
        <w:t>Street anchor: $10.3B (yfinance consensus FY2027) → Our view: $11.1B</w:t>
      </w:r>
    </w:p>
    <w:p>
      <w:pPr>
        <w:pStyle w:val="PullQuote"/>
      </w:pPr>
      <w:r>
        <w:t>“Monster Valentino Rossi Zero Sugar available in 12 markets Q3 YTD • 1 further market in Q4, 17 more markets in 2026”  (deck)</w:t>
      </w:r>
    </w:p>
    <w:p>
      <w:pPr>
        <w:pStyle w:val="PullQuote"/>
      </w:pPr>
      <w:r>
        <w:t>“Value Sales vs Prior Year (%): Energy Category +14.4%, MEC +22.7%, Monster +22.4%, Strategic &amp; Affordable Brands +18.1%”  (deck)</w:t>
      </w:r>
    </w:p>
    <w:p>
      <w:pPr>
        <w:pStyle w:val="PullQuote"/>
      </w:pPr>
      <w:r>
        <w:t>“GlobalData forecasts a 5-year compound annual growth rate (CAGR) of 8.0% of global off-trade retail sales of energy drinks through 2030.”  (deck)</w:t>
      </w:r>
    </w:p>
    <w:p>
      <w:r>
        <w:t>Why not consensus: Sell-side FY2027 estimates are built top-down from the category CAGR (8%) rather than bottom-up from the specific market expansion pipeline (17 new Valentino Rossi markets, Japan Reign Storm launches, LATAM cooler placements, India/APAC per-capita catch-up). Analysts applying a category-growth multiple to Monster's revenue miss that Monster has been systematically outgrowing the category by 800-1000bps in EMEA and LATAM — a pattern that, if it persists into 2027, implies a revenue base of $11.0-11.2B rather than the consensus $10.3B.</w:t>
      </w:r>
    </w:p>
    <w:p>
      <w:pPr>
        <w:pStyle w:val="KillCriteria"/>
      </w:pPr>
      <w:r>
        <w:t>Falsifier: If Monster's EMEA/LATAM share gains decelerate to category-level growth (i.e., the outperformance gap closes to &lt;200bps) in H2 2026, the FY2027 upside thesis breaks. Also falsified if FX headwinds from a strengthening dollar materially reduce reported USD revenue.</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FY2026 Revenue Growth</w:t>
            </w:r>
          </w:p>
        </w:tc>
        <w:tc>
          <w:tcPr>
            <w:tcW w:type="dxa" w:w="2448"/>
            <w:tcBorders>
              <w:top w:val="single" w:sz="4" w:color="BDC3C7"/>
              <w:bottom w:val="single" w:sz="4" w:color="BDC3C7"/>
              <w:left w:val="single" w:sz="4" w:color="BDC3C7"/>
              <w:right w:val="single" w:sz="4" w:color="BDC3C7"/>
            </w:tcBorders>
          </w:tcPr>
          <w:p>
            <w:r>
              <w:rPr>
                <w:b/>
              </w:rPr>
              <w:t>+30.00%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U.S. volume and price/mix growth</w:t>
            </w:r>
          </w:p>
        </w:tc>
        <w:tc>
          <w:tcPr>
            <w:tcW w:type="dxa" w:w="2448"/>
            <w:tcBorders>
              <w:top w:val="single" w:sz="4" w:color="BDC3C7"/>
              <w:bottom w:val="single" w:sz="4" w:color="BDC3C7"/>
              <w:left w:val="single" w:sz="4" w:color="BDC3C7"/>
              <w:right w:val="single" w:sz="4" w:color="BDC3C7"/>
            </w:tcBorders>
          </w:tcPr>
          <w:p>
            <w:r>
              <w:t>+12.00%</w:t>
            </w:r>
          </w:p>
        </w:tc>
        <w:tc>
          <w:tcPr>
            <w:tcW w:type="dxa" w:w="2448"/>
            <w:tcBorders>
              <w:top w:val="single" w:sz="4" w:color="BDC3C7"/>
              <w:bottom w:val="single" w:sz="4" w:color="BDC3C7"/>
              <w:left w:val="single" w:sz="4" w:color="BDC3C7"/>
              <w:right w:val="single" w:sz="4" w:color="BDC3C7"/>
            </w:tcBorders>
          </w:tcPr>
          <w:p>
            <w:r>
              <w:t>0.62</w:t>
            </w:r>
          </w:p>
        </w:tc>
        <w:tc>
          <w:tcPr>
            <w:tcW w:type="dxa" w:w="2448"/>
            <w:tcBorders>
              <w:top w:val="single" w:sz="4" w:color="BDC3C7"/>
              <w:bottom w:val="single" w:sz="4" w:color="BDC3C7"/>
              <w:left w:val="single" w:sz="4" w:color="BDC3C7"/>
              <w:right w:val="single" w:sz="4" w:color="BDC3C7"/>
            </w:tcBorders>
          </w:tcPr>
          <w:p>
            <w:r>
              <w:t>U.S. and Canada net sales grew 8.6% in Q2 2025 and the Q1 2026 call noted double-digit growth in all geographic regions including the U.S. Nielsen data cited on the Q1 2026 call showed the energy drink category up double</w:t>
            </w:r>
          </w:p>
        </w:tc>
      </w:tr>
      <w:tr>
        <w:tc>
          <w:tcPr>
            <w:tcW w:type="dxa" w:w="2448"/>
            <w:tcBorders>
              <w:top w:val="single" w:sz="4" w:color="BDC3C7"/>
              <w:bottom w:val="single" w:sz="4" w:color="BDC3C7"/>
              <w:left w:val="single" w:sz="4" w:color="BDC3C7"/>
              <w:right w:val="single" w:sz="4" w:color="BDC3C7"/>
            </w:tcBorders>
          </w:tcPr>
          <w:p>
            <w:r>
              <w:t xml:space="preserve">    International volume and FX-adjusted growth</w:t>
            </w:r>
          </w:p>
        </w:tc>
        <w:tc>
          <w:tcPr>
            <w:tcW w:type="dxa" w:w="2448"/>
            <w:tcBorders>
              <w:top w:val="single" w:sz="4" w:color="BDC3C7"/>
              <w:bottom w:val="single" w:sz="4" w:color="BDC3C7"/>
              <w:left w:val="single" w:sz="4" w:color="BDC3C7"/>
              <w:right w:val="single" w:sz="4" w:color="BDC3C7"/>
            </w:tcBorders>
          </w:tcPr>
          <w:p>
            <w:r>
              <w:t>+18.00%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International (EMEA, LATAM, APAC) has been the primary growth engine. EMEA YTD value sales grew +22.7% vs. category +14.4% per Deck p.23. April 2026 QTD was +21.6% FX-adjusted per the Q1 2026 call. The 2026 pipeline incl</w:t>
            </w:r>
          </w:p>
        </w:tc>
      </w:tr>
    </w:tbl>
    <w:p>
      <w:pPr>
        <w:pStyle w:val="SubHeading"/>
      </w:pPr>
      <w:r>
        <w:t>Bear revisions:</w:t>
      </w:r>
    </w:p>
    <w:p>
      <w:pPr>
        <w:pStyle w:val="ListBullet"/>
      </w:pPr>
      <w:r>
        <w:t>FY2026 Revenue Growth.International volume and FX-adjusted growth: 28.0 → 18.0 — If FX headwinds from a strengthening dollar materialize (the dollar has been volatile in 2026), reported international growth could compress from our 28% base case to ~18%, reducing full-year revenue to approximately $9,450M — below consensus. Additionally, if the EMEA category growth rate decelerates from the current +14.4% toward the global 8% CAGR forecast, Monster's outperformance gap narrows and the international growth engine slows.</w:t>
      </w:r>
    </w:p>
    <w:p>
      <w:pPr>
        <w:pStyle w:val="SubHeading"/>
      </w:pPr>
      <w:r>
        <w:t>Comp decomposition check:</w:t>
      </w:r>
    </w:p>
    <w:p>
      <w:pPr>
        <w:pStyle w:val="ListBullet"/>
      </w:pPr>
      <w:r>
        <w:t>Schema mismatch: peer comps fit 'consumer_staples' but the brief picked 'general'. The mechanical model will use generic defaults; final EPS may be unreliable.</w:t>
      </w:r>
    </w:p>
    <w:p>
      <w:pPr>
        <w:pStyle w:val="ListBullet"/>
      </w:pPr>
      <w:r>
        <w:t>Thin brief drivers (1 drivers / 2 components) on schema 'general'. The mechanical model and edge variant back-solve may be unreliable.</w:t>
      </w:r>
    </w:p>
    <w:p>
      <w:pPr>
        <w:pStyle w:val="ListBullet"/>
      </w:pPr>
      <w:r>
        <w:rPr>
          <w:i/>
        </w:rPr>
        <w:t>→ Research: Management disclosed inventory fluctuations impacted sales reporting in South Korea and Mexico (Q4 2025), and acknowledged bottler/distributor ordering patterns created sales volatility in EMEA and U.S. (Q1 2025). However, no explicit quantification of distributor stocking vs. end-consumer sell-through in EMEA new markets for FY2026 was found in earnings disclosures. (fool.com)</w:t>
      </w:r>
    </w:p>
    <w:p>
      <w:pPr>
        <w:pStyle w:val="PullQuote"/>
      </w:pPr>
      <w:r>
        <w:t>Counter: the analyst claims International volume and FX-adjusted growth of 28% for FY2026 is achievable and above consensus — but The investor deck (page 5) shows distribution in 138 countries as of November 2025, not 158 as the analyst states — indicating either stale data or over-counting the distribution runway. More critically, the 28% FX-adjusted international growth assumption requires sustained acceleration above the Q1 2026 FX-adjusted pace (which the April QTD data already suggests is not occurring). The base…</w:t>
      </w:r>
    </w:p>
    <w:p>
      <w:pPr>
        <w:pStyle w:val="SectionHeading"/>
      </w:pPr>
      <w:r>
        <w:t>3. Consensus Gap &amp; Valuation</w:t>
      </w:r>
    </w:p>
    <w:p>
      <w:r>
        <w:t>Our EPS: $2.18  =  baseline $2.26  +  Σ claim impacts $-0.08 (3.5% below consensus $2.26)</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$2.26</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$2.26 → $2.18 (Δ -8.0%)</w:t>
            </w:r>
          </w:p>
        </w:tc>
        <w:tc>
          <w:tcPr>
            <w:tcW w:type="dxa" w:w="2448"/>
            <w:tcBorders>
              <w:top w:val="single" w:sz="4" w:color="BDC3C7"/>
              <w:bottom w:val="single" w:sz="4" w:color="BDC3C7"/>
              <w:left w:val="single" w:sz="4" w:color="BDC3C7"/>
              <w:right w:val="single" w:sz="4" w:color="BDC3C7"/>
            </w:tcBorders>
          </w:tcPr>
          <w:p>
            <w:r>
              <w:t>Direct EPS delta: $-0.08/share</w:t>
            </w:r>
          </w:p>
        </w:tc>
        <w:tc>
          <w:tcPr>
            <w:tcW w:type="dxa" w:w="2448"/>
            <w:tcBorders>
              <w:top w:val="single" w:sz="4" w:color="BDC3C7"/>
              <w:bottom w:val="single" w:sz="4" w:color="BDC3C7"/>
              <w:left w:val="single" w:sz="4" w:color="BDC3C7"/>
              <w:right w:val="single" w:sz="4" w:color="BDC3C7"/>
            </w:tcBorders>
          </w:tcPr>
          <w:p>
            <w:r>
              <w:t>-0.08</w:t>
            </w:r>
          </w:p>
        </w:tc>
      </w:tr>
      <w:tr>
        <w:tc>
          <w:tcPr>
            <w:tcW w:type="dxa" w:w="2448"/>
            <w:tcBorders>
              <w:top w:val="single" w:sz="4" w:color="BDC3C7"/>
              <w:bottom w:val="single" w:sz="4" w:color="BDC3C7"/>
              <w:left w:val="single" w:sz="4" w:color="BDC3C7"/>
              <w:right w:val="single" w:sz="4" w:color="BDC3C7"/>
            </w:tcBorders>
          </w:tcPr>
          <w:p>
            <w:r>
              <w:t>Revenue</w:t>
            </w:r>
          </w:p>
        </w:tc>
        <w:tc>
          <w:tcPr>
            <w:tcW w:type="dxa" w:w="2448"/>
            <w:tcBorders>
              <w:top w:val="single" w:sz="4" w:color="BDC3C7"/>
              <w:bottom w:val="single" w:sz="4" w:color="BDC3C7"/>
              <w:left w:val="single" w:sz="4" w:color="BDC3C7"/>
              <w:right w:val="single" w:sz="4" w:color="BDC3C7"/>
            </w:tcBorders>
          </w:tcPr>
          <w:p>
            <w:r>
              <w:t>Cons FY Rev</w:t>
              <w:br/>
              <w:t>$9.6B → $9.8B (Δ $297M)</w:t>
            </w:r>
          </w:p>
        </w:tc>
        <w:tc>
          <w:tcPr>
            <w:tcW w:type="dxa" w:w="2448"/>
            <w:tcBorders>
              <w:top w:val="single" w:sz="4" w:color="BDC3C7"/>
              <w:bottom w:val="single" w:sz="4" w:color="BDC3C7"/>
              <w:left w:val="single" w:sz="4" w:color="BDC3C7"/>
              <w:right w:val="single" w:sz="4" w:color="BDC3C7"/>
            </w:tcBorders>
          </w:tcPr>
          <w:p>
            <w:r>
              <w:t xml:space="preserve">(supporting view, not summed: same disagreement as 'consensus_fy_eps' through different metric lens) Revenue Δ $+297M × </w:t>
            </w:r>
          </w:p>
        </w:tc>
        <w:tc>
          <w:tcPr>
            <w:tcW w:type="dxa" w:w="2448"/>
            <w:tcBorders>
              <w:top w:val="single" w:sz="4" w:color="BDC3C7"/>
              <w:bottom w:val="single" w:sz="4" w:color="BDC3C7"/>
              <w:left w:val="single" w:sz="4" w:color="BDC3C7"/>
              <w:right w:val="single" w:sz="4" w:color="BDC3C7"/>
            </w:tcBorders>
          </w:tcPr>
          <w:p>
            <w:r>
              <w:t>+0.00</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-0.08</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$2.18</w:t>
            </w:r>
          </w:p>
        </w:tc>
      </w:tr>
    </w:tbl>
    <w:p>
      <w:pPr>
        <w:pStyle w:val="PullQuote"/>
      </w:pPr>
      <w:r>
        <w:t xml:space="preserve">  ⚠ Mechanically-overlapping claim deduplicated: 'consensus_fy_revenue' overlaps with selected 'consensus_fy_eps'; only the more comprehensive claim is summed into our_eps.</w:t>
      </w:r>
    </w:p>
    <w:p>
      <w:pPr>
        <w:pStyle w:val="PullQuote"/>
      </w:pPr>
      <w:r>
        <w:t xml:space="preserve">  ⚠ 1 claim(s) target a different fiscal period than the current_fy baseline and weren't summed: consensus_next_fy_revenue</w:t>
      </w:r>
    </w:p>
    <w:p>
      <w:r>
        <w:t>Our estimate is $0.08 (3.5%) below consensus $2.26. No single driver within plausible bounds can close the gap to consensus when other drivers are held at our values; the EPS variant is diffuse (top magnitude: FY2026 Revenue Growth.U.S. volume and price/mix growth). Variant appears NOT fully priced in based on available market data. Next catalyst: Next quarterly earnings report (2026-08-06 (45 days)). Time horizon: swing.</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FY2026 Revenue Growth.U.S. volume and price/mix growth</w:t>
            </w:r>
          </w:p>
        </w:tc>
        <w:tc>
          <w:tcPr>
            <w:tcW w:type="dxa" w:w="1958"/>
            <w:tcBorders>
              <w:top w:val="single" w:sz="4" w:color="BDC3C7"/>
              <w:bottom w:val="single" w:sz="4" w:color="BDC3C7"/>
              <w:left w:val="single" w:sz="4" w:color="BDC3C7"/>
              <w:right w:val="single" w:sz="4" w:color="BDC3C7"/>
            </w:tcBorders>
          </w:tcPr>
          <w:p>
            <w:r>
              <w:t>+12.00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0.52</w:t>
            </w:r>
          </w:p>
        </w:tc>
      </w:tr>
      <w:tr>
        <w:tc>
          <w:tcPr>
            <w:tcW w:type="dxa" w:w="1958"/>
            <w:tcBorders>
              <w:top w:val="single" w:sz="4" w:color="BDC3C7"/>
              <w:bottom w:val="single" w:sz="4" w:color="BDC3C7"/>
              <w:left w:val="single" w:sz="4" w:color="BDC3C7"/>
              <w:right w:val="single" w:sz="4" w:color="BDC3C7"/>
            </w:tcBorders>
          </w:tcPr>
          <w:p>
            <w:r>
              <w:t>FY2026 Revenue Growth.International volume and FX-adjusted growth</w:t>
            </w:r>
          </w:p>
        </w:tc>
        <w:tc>
          <w:tcPr>
            <w:tcW w:type="dxa" w:w="1958"/>
            <w:tcBorders>
              <w:top w:val="single" w:sz="4" w:color="BDC3C7"/>
              <w:bottom w:val="single" w:sz="4" w:color="BDC3C7"/>
              <w:left w:val="single" w:sz="4" w:color="BDC3C7"/>
              <w:right w:val="single" w:sz="4" w:color="BDC3C7"/>
            </w:tcBorders>
          </w:tcPr>
          <w:p>
            <w:r>
              <w:t>+18.00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(-3.5%) exceeds implied move (1.4%)</w:t>
      </w:r>
    </w:p>
    <w:p>
      <w:r>
        <w:t>Edge verdict: PROBABLE_EDGE (score 0.099).</w:t>
      </w:r>
    </w:p>
    <w:p>
      <w:pPr>
        <w:pStyle w:val="PullQuote"/>
      </w:pPr>
      <w:r>
        <w:t>Counter: the analyst claims Gross margin compression is the primary EPS risk and has been adequately quantified by the analyst — but The analyst frames gross margin compression as a forward risk, but the actual historical data shows the sequential GM% decline has been underway for five consecutive quarters (56.5% in Q1 2025 → 55.0% in Q1 2026). This means the 'accelerating' headwind management disclosed is already partially visible in results, and consensus models have presumably incorporated at least some of this trend. The…</w:t>
      </w:r>
    </w:p>
    <w:p>
      <w:pPr>
        <w:pStyle w:val="SectionHeading"/>
      </w:pPr>
      <w:r>
        <w:t>4. Catalysts</w:t>
      </w:r>
    </w:p>
    <w:p>
      <w:pPr>
        <w:pStyle w:val="ListBullet"/>
      </w:pPr>
      <w:r>
        <w:t>Next quarterly earnings report (2026-08-06 (45 days)) — resolves revenue + margins + guidance; confirms or challenges</w:t>
      </w:r>
    </w:p>
    <w:p>
      <w:pPr>
        <w:pStyle w:val="ListBullet"/>
      </w:pPr>
      <w:r>
        <w:t>Resolution: International expansion drives durable revenue acceleration above consensus (Multi-year thesis -- patience required) — resolves Gross Margin Compression; confirms or challenges</w:t>
      </w:r>
    </w:p>
    <w:p>
      <w:pPr>
        <w:pStyle w:val="ListBullet"/>
      </w:pPr>
      <w:r>
        <w:t>Resolution: Q1 2026 acceleration is durable and implies full-year revenue above consensus (Multi-year thesis -- patience required) — resolves FY2026 Revenue Growth; confirms or challenges</w:t>
      </w:r>
    </w:p>
    <w:p>
      <w:pPr>
        <w:pStyle w:val="ListBullet"/>
      </w:pPr>
      <w:r>
        <w:t>Resolution: Monster's brand moat and Coca-Cola distribution provide durable competitive insu (Multi-year thesis -- patience required) — resolves FY2026 Revenue Growth; confirms or challenges</w:t>
      </w:r>
    </w:p>
    <w:p>
      <w:pPr>
        <w:pStyle w:val="ListBullet"/>
      </w:pPr>
      <w:r>
        <w:t>No explicit Q2 2026 revenue guidance from management — the April QTD data is the only forward signal (Unknown timing) — resolves multiple; resolves uncertainty</w:t>
      </w:r>
    </w:p>
    <w:p>
      <w:pPr>
        <w:pStyle w:val="ListBullet"/>
      </w:pPr>
      <w:r>
        <w:t>The Spruce Point short report (April 2025) excerpt is truncated — the specific allegations are not v (Unknown timing) — resolves multiple; resolves uncertainty</w:t>
      </w:r>
    </w:p>
    <w:p>
      <w:pPr>
        <w:pStyle w:val="SectionHeading"/>
      </w:pPr>
      <w:r>
        <w:t>5. Risks, Blind Spots &amp; Kill Criteria</w:t>
      </w:r>
    </w:p>
    <w:p>
      <w:pPr>
        <w:pStyle w:val="SubHeading"/>
      </w:pPr>
      <w:r>
        <w:t>Top risks:</w:t>
      </w:r>
    </w:p>
    <w:p>
      <w:pPr>
        <w:pStyle w:val="ListBullet"/>
      </w:pPr>
      <w:r>
        <w:t>Pricing actions will offset aluminum and tariff cost headwinds — counter: As of the Q2 2025 call, the U.S. price increase was still 'in discussions with bottlers and customers' and 'a little premature to say exactly where it will fall out.' On the Q4 2025 call, management said the price increase 'will go some way towards overcoming' the aluminum headwind — notably not 'fully offset.' The hedging program covers LME but management explicitly stated they are 'hedged to a limited extent in the Midwest premium, which is where we'll see the impact of the tariffs.' The PPI all-commodities index at +13.1% YoY (FRED, May 2026) suggests broad input cost pressure beyond aluminum. [serious]</w:t>
      </w:r>
    </w:p>
    <w:p>
      <w:pPr>
        <w:pStyle w:val="ListBullet2"/>
      </w:pPr>
      <w:r>
        <w:rPr>
          <w:i/>
        </w:rPr>
        <w:t>→ Research [UPDATES]: Price increase was discussed in Q2 2025 and negotiations completed by Q3 2025 call; implementation occurred November 1, 2025 (Q4), not remaining in discussions on Q4 call. SEC filing confirms Q4 2025 implementation. (sec.gov)</w:t>
      </w:r>
    </w:p>
    <w:p>
      <w:pPr>
        <w:pStyle w:val="ListBullet"/>
      </w:pPr>
      <w:r>
        <w:t>The analyst's edge hypothesis rests on management's April 2026 QTD data showing +21.6% FX-adjusted growth implying a full-year run-rate 'materially above consensus' — counter: Q1 2026 FX-adjusted growth was 22.1% (per the Q1 press release), so April QTD of +21.6% FX-adjusted is actually a DECELERATION from the Q1 run-rate, not a confirmation of it. The analyst presents the April figure as bullish momentum evidence, but on an FX-adjusted basis it is sequentially softer than Q1. If Q2 2026 FX tailwinds moderate (dollar strength reversing), reported growth could reaccelerate on a nominal basis even as underlying volume slows — creating a potential false positive in the revenue beat thesis. [serious]</w:t>
      </w:r>
    </w:p>
    <w:p>
      <w:pPr>
        <w:pStyle w:val="ListBullet"/>
      </w:pPr>
      <w:r>
        <w:t>International expansion drives durable revenue acceleration above consensus — counter: The same international growth that drives revenue upside structurally compresses gross margins — management explicitly stated 'that increase in international sales comes at the expense of gross margin percentage' (Q1 2026 call). At 40% international mix in Q1 2026 and growing, the gross margin dilution is a persistent, not transient, headwind. Additionally, FX is a real risk: April 2026 reported growth was +24.4% but FX-adjusted was +21.6% — a ~280bps FX tailwind that could reverse if the dollar strengthens. [moderate]</w:t>
      </w:r>
    </w:p>
    <w:p>
      <w:pPr>
        <w:pStyle w:val="SubHeading"/>
      </w:pPr>
      <w:r>
        <w:t>Blind spots (auditor-independent):</w:t>
      </w:r>
    </w:p>
    <w:p>
      <w:pPr>
        <w:pStyle w:val="ListBullet"/>
      </w:pPr>
      <w:r>
        <w:t>Bang Energy integration risk is completely absent from the thesis. Bang was acquired and is still being integrated into the Coca-Cola distribution system. Channel conflict, SKU rationalization, and cannibalization of core Monster SKUs are live operational risks that could distort both U.S. volume and margin in ways that are not captured by simply adding Bang to the revenue line.</w:t>
      </w:r>
    </w:p>
    <w:p>
      <w:pPr>
        <w:pStyle w:val="ListBullet"/>
      </w:pPr>
      <w:r>
        <w:t>The alcohol brands segment is explicitly carved out in the press release ('net sales excluding Alcohol Brands segment') but the analyst makes no mention of it. If the alcohol brands segment is loss-dilutive or being wound down, it is affecting reported consolidated margins in ways that distort the energy drink margin trend the analyst is analyzing.</w:t>
      </w:r>
    </w:p>
    <w:p>
      <w:pPr>
        <w:pStyle w:val="ListBullet"/>
      </w:pPr>
      <w:r>
        <w:t>The Spruce Point short report (April 2025) is flagged in the bear research corpus but the analyst makes zero reference to it. Without knowing its specific claims, the analyst cannot credibly assert their edge is not already embedded in the bear case. Ignoring a public short thesis by a credible firm is a serious analytical gap, particularly for a LONG pitch.</w:t>
      </w:r>
    </w:p>
    <w:p>
      <w:pPr>
        <w:pStyle w:val="KillCriteria"/>
      </w:pPr>
      <w:r>
        <w:t>What would change our mind: Unable to close gap: No explicit Q2 2026 revenue guidance from management — the April QTD data is the only forward signal, and management explicitly cautioned against extrapolating short-period data</w:t>
      </w:r>
    </w:p>
    <w:p>
      <w:pPr>
        <w:pStyle w:val="SectionHeading"/>
      </w:pPr>
      <w:r>
        <w:t>Appendix</w:t>
      </w:r>
    </w:p>
    <w:p>
      <w:pPr>
        <w:pStyle w:val="SubHeading"/>
      </w:pPr>
      <w:r>
        <w:t>Business context:</w:t>
      </w:r>
    </w:p>
    <w:p>
      <w:r>
        <w:t>Monster Beverage Corporation develops and markets energy drinks across multiple brand families (Monster Energy, Reign, Bang, Predator/Fury, and others) in 158 countries and territories. The company operates an asset-light model — it formulates, markets, and sells concentrate/finished goods through the Coca-Cola bottling system and independent distributors, outsourcing ~90% of U.S. production to co-packers.</w:t>
      </w:r>
    </w:p>
    <w:p>
      <w:pPr>
        <w:pStyle w:val="SubHeading"/>
      </w:pPr>
      <w:r>
        <w:t>Evidence gaps (research TODO):</w:t>
      </w:r>
    </w:p>
    <w:p>
      <w:pPr>
        <w:pStyle w:val="ListBullet"/>
      </w:pPr>
      <w:r>
        <w:t>No explicit Q2 2026 revenue guidance from management — the April QTD data is the only forward signal, and management explicitly cautioned against extrapolating short-period data</w:t>
      </w:r>
    </w:p>
    <w:p>
      <w:pPr>
        <w:pStyle w:val="ListBullet"/>
      </w:pPr>
      <w:r>
        <w:t>The Spruce Point short report (April 2025) excerpt is truncated — the specific allegations are not visible in the corpus, preventing a full bear-thesis engagement</w:t>
      </w:r>
    </w:p>
    <w:p>
      <w:pPr>
        <w:pStyle w:val="ListBullet"/>
      </w:pPr>
      <w:r>
        <w:t>No disclosure of the specific U.S. price increase magnitude or timing — management has been 'in discussions' since Q2 2025 without a definitive announcement, making the pricing offset to aluminum costs unquantifiable</w:t>
      </w:r>
    </w:p>
    <w:p>
      <w:pPr>
        <w:pStyle w:val="ListBullet"/>
      </w:pPr>
      <w:r>
        <w:t>No segment-level margin disclosure (U.S. vs. International gross margin differential) — the international mix dilution impact is inferred from aggregate margin trends, not directly disclosed</w:t>
      </w:r>
    </w:p>
    <w:p>
      <w:pPr>
        <w:pStyle w:val="ListBullet"/>
      </w:pPr>
      <w:r>
        <w:t>No disclosure of the hedging program's coverage ratio or duration — the aluminum hedge provides some protection but the Midwest premium is 'limited,' and the exact net exposure is unknown</w:t>
      </w:r>
    </w:p>
    <w:p>
      <w:pPr>
        <w:pStyle w:val="ListBullet"/>
      </w:pPr>
      <w:r>
        <w:t>The Vanguard 13F showing a -$4,080M (100% exit) in Q4 2025 is a significant passive-index rebalancing event — the reason for the full exit is not disclosed and could reflect index reconstitution rather than a fundamental view</w:t>
      </w:r>
    </w:p>
    <w:p>
      <w:pPr>
        <w:pStyle w:val="ListBullet"/>
      </w:pPr>
      <w:r>
        <w:t>No FY2026 or FY2027 financial algorithm slide in the investor deck — management explicitly does not provide guidance, making forward estimates more uncertain than for peers who provide annual frameworks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