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PRMB — PRMB</w:t>
      </w:r>
    </w:p>
    <w:p>
      <w:pPr>
        <w:pStyle w:val="SmallMeta"/>
      </w:pPr>
      <w:r>
        <w:t>As of 2026-05-04  |  Schema: general  |  Data: polygon+alpha_vantage (FY2025)</w:t>
      </w:r>
    </w:p>
    <w:p>
      <w:pPr>
        <w:pStyle w:val="SubHeading"/>
      </w:pPr>
      <w:r>
        <w:rPr>
          <w:color w:val="8C1D40"/>
        </w:rPr>
        <w:t>Direction: SHORT | Current: $20.09</w:t>
      </w:r>
    </w:p>
    <w:p>
      <w:pPr>
        <w:pStyle w:val="SubHeading"/>
      </w:pPr>
      <w:r>
        <w:t>Summary</w:t>
      </w:r>
    </w:p>
    <w:p>
      <w:pPr>
        <w:pStyle w:val="ListBullet"/>
      </w:pPr>
      <w:r>
        <w:t>Thesis: No clear edge identified -- estimate is close to consensus range.</w:t>
      </w:r>
    </w:p>
    <w:p>
      <w:pPr>
        <w:pStyle w:val="ListBullet"/>
      </w:pPr>
      <w:r>
        <w:t>Next catalyst: Next quarterly earnings report (2026-05-07 (3 days))</w:t>
      </w:r>
    </w:p>
    <w:p>
      <w:pPr>
        <w:pStyle w:val="ListBullet"/>
      </w:pPr>
      <w:r>
        <w:t>Top risk: Direct delivery will recover smoothly in H2 2026</w:t>
      </w:r>
    </w:p>
    <w:tbl>
      <w:tblPr>
        <w:tblW w:type="auto" w:w="0"/>
        <w:tblLook w:firstColumn="1" w:firstRow="1" w:lastColumn="0" w:lastRow="0" w:noHBand="0" w:noVBand="1" w:val="04A0"/>
      </w:tblPr>
      <w:tblGrid>
        <w:gridCol w:w="9792"/>
      </w:tblGrid>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Outlier: revenue_growth.organic_revenue_growth: +0.4 is 7.3 sigma from mean +0.3 (sd=0.0)</w:t>
            </w:r>
          </w:p>
        </w:tc>
      </w:tr>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EXTRAORDINARY VARIANT: our EPS $-0.29 is 122% below consensus $1.31 (after 1 bear/bull revision(s)). Claims this extreme require specific named catastrophic (or windfall) mechanisms — review the brief + adversarial output and confirm the thesis supports this magnitude, or treat the number as mis-calibrated.</w:t>
            </w:r>
          </w:p>
        </w:tc>
      </w:tr>
    </w:tbl>
    <w:p>
      <w:pPr>
        <w:pStyle w:val="SectionHeading"/>
      </w:pPr>
      <w:r>
        <w:t>Street Consensus</w:t>
      </w:r>
    </w:p>
    <w:tbl>
      <w:tblPr>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shd w:val="clear" w:color="auto" w:fill="E8EDF5"/>
            <w:tcBorders>
              <w:top w:val="single" w:sz="4" w:color="BDC3C7"/>
              <w:bottom w:val="single" w:sz="4" w:color="BDC3C7"/>
              <w:left w:val="single" w:sz="4" w:color="BDC3C7"/>
              <w:right w:val="single" w:sz="4" w:color="BDC3C7"/>
            </w:tcBorders>
          </w:tcPr>
          <w:p>
            <w:r>
              <w:rPr>
                <w:b/>
              </w:rPr>
              <w:t>Period</w:t>
            </w:r>
          </w:p>
        </w:tc>
        <w:tc>
          <w:tcPr>
            <w:tcW w:type="dxa" w:w="1399"/>
            <w:shd w:val="clear" w:color="auto" w:fill="E8EDF5"/>
            <w:tcBorders>
              <w:top w:val="single" w:sz="4" w:color="BDC3C7"/>
              <w:bottom w:val="single" w:sz="4" w:color="BDC3C7"/>
              <w:left w:val="single" w:sz="4" w:color="BDC3C7"/>
              <w:right w:val="single" w:sz="4" w:color="BDC3C7"/>
            </w:tcBorders>
          </w:tcPr>
          <w:p>
            <w:r>
              <w:rPr>
                <w:b/>
              </w:rPr>
              <w:t>EPS (mean)</w:t>
            </w:r>
          </w:p>
        </w:tc>
        <w:tc>
          <w:tcPr>
            <w:tcW w:type="dxa" w:w="1399"/>
            <w:shd w:val="clear" w:color="auto" w:fill="E8EDF5"/>
            <w:tcBorders>
              <w:top w:val="single" w:sz="4" w:color="BDC3C7"/>
              <w:bottom w:val="single" w:sz="4" w:color="BDC3C7"/>
              <w:left w:val="single" w:sz="4" w:color="BDC3C7"/>
              <w:right w:val="single" w:sz="4" w:color="BDC3C7"/>
            </w:tcBorders>
          </w:tcPr>
          <w:p>
            <w:r>
              <w:rPr>
                <w:b/>
              </w:rPr>
              <w:t>Range</w:t>
            </w:r>
          </w:p>
        </w:tc>
        <w:tc>
          <w:tcPr>
            <w:tcW w:type="dxa" w:w="1399"/>
            <w:shd w:val="clear" w:color="auto" w:fill="E8EDF5"/>
            <w:tcBorders>
              <w:top w:val="single" w:sz="4" w:color="BDC3C7"/>
              <w:bottom w:val="single" w:sz="4" w:color="BDC3C7"/>
              <w:left w:val="single" w:sz="4" w:color="BDC3C7"/>
              <w:right w:val="single" w:sz="4" w:color="BDC3C7"/>
            </w:tcBorders>
          </w:tcPr>
          <w:p>
            <w:r>
              <w:rPr>
                <w:b/>
              </w:rPr>
              <w:t>n</w:t>
            </w:r>
          </w:p>
        </w:tc>
        <w:tc>
          <w:tcPr>
            <w:tcW w:type="dxa" w:w="1399"/>
            <w:shd w:val="clear" w:color="auto" w:fill="E8EDF5"/>
            <w:tcBorders>
              <w:top w:val="single" w:sz="4" w:color="BDC3C7"/>
              <w:bottom w:val="single" w:sz="4" w:color="BDC3C7"/>
              <w:left w:val="single" w:sz="4" w:color="BDC3C7"/>
              <w:right w:val="single" w:sz="4" w:color="BDC3C7"/>
            </w:tcBorders>
          </w:tcPr>
          <w:p>
            <w:r>
              <w:rPr>
                <w:b/>
              </w:rPr>
              <w:t>YoY</w:t>
            </w:r>
          </w:p>
        </w:tc>
        <w:tc>
          <w:tcPr>
            <w:tcW w:type="dxa" w:w="1399"/>
            <w:shd w:val="clear" w:color="auto" w:fill="E8EDF5"/>
            <w:tcBorders>
              <w:top w:val="single" w:sz="4" w:color="BDC3C7"/>
              <w:bottom w:val="single" w:sz="4" w:color="BDC3C7"/>
              <w:left w:val="single" w:sz="4" w:color="BDC3C7"/>
              <w:right w:val="single" w:sz="4" w:color="BDC3C7"/>
            </w:tcBorders>
          </w:tcPr>
          <w:p>
            <w:r>
              <w:rPr>
                <w:b/>
              </w:rPr>
              <w:t>30d Δ</w:t>
            </w:r>
          </w:p>
        </w:tc>
        <w:tc>
          <w:tcPr>
            <w:tcW w:type="dxa" w:w="1399"/>
            <w:shd w:val="clear" w:color="auto" w:fill="E8EDF5"/>
            <w:tcBorders>
              <w:top w:val="single" w:sz="4" w:color="BDC3C7"/>
              <w:bottom w:val="single" w:sz="4" w:color="BDC3C7"/>
              <w:left w:val="single" w:sz="4" w:color="BDC3C7"/>
              <w:right w:val="single" w:sz="4" w:color="BDC3C7"/>
            </w:tcBorders>
          </w:tcPr>
          <w:p>
            <w:r>
              <w:rPr>
                <w:b/>
              </w:rPr>
              <w:t>Revs 30d</w:t>
            </w:r>
          </w:p>
        </w:tc>
      </w:tr>
      <w:tr>
        <w:tc>
          <w:tcPr>
            <w:tcW w:type="dxa" w:w="1399"/>
            <w:tcBorders>
              <w:top w:val="single" w:sz="4" w:color="BDC3C7"/>
              <w:bottom w:val="single" w:sz="4" w:color="BDC3C7"/>
              <w:left w:val="single" w:sz="4" w:color="BDC3C7"/>
              <w:right w:val="single" w:sz="4" w:color="BDC3C7"/>
            </w:tcBorders>
          </w:tcPr>
          <w:p>
            <w:r>
              <w:t>Current Quarter</w:t>
            </w:r>
          </w:p>
        </w:tc>
        <w:tc>
          <w:tcPr>
            <w:tcW w:type="dxa" w:w="1399"/>
            <w:tcBorders>
              <w:top w:val="single" w:sz="4" w:color="BDC3C7"/>
              <w:bottom w:val="single" w:sz="4" w:color="BDC3C7"/>
              <w:left w:val="single" w:sz="4" w:color="BDC3C7"/>
              <w:right w:val="single" w:sz="4" w:color="BDC3C7"/>
            </w:tcBorders>
          </w:tcPr>
          <w:p>
            <w:r>
              <w:t>$0.24</w:t>
            </w:r>
          </w:p>
        </w:tc>
        <w:tc>
          <w:tcPr>
            <w:tcW w:type="dxa" w:w="1399"/>
            <w:tcBorders>
              <w:top w:val="single" w:sz="4" w:color="BDC3C7"/>
              <w:bottom w:val="single" w:sz="4" w:color="BDC3C7"/>
              <w:left w:val="single" w:sz="4" w:color="BDC3C7"/>
              <w:right w:val="single" w:sz="4" w:color="BDC3C7"/>
            </w:tcBorders>
          </w:tcPr>
          <w:p>
            <w:r>
              <w:t>$0.19 – $0.30</w:t>
            </w:r>
          </w:p>
        </w:tc>
        <w:tc>
          <w:tcPr>
            <w:tcW w:type="dxa" w:w="1399"/>
            <w:tcBorders>
              <w:top w:val="single" w:sz="4" w:color="BDC3C7"/>
              <w:bottom w:val="single" w:sz="4" w:color="BDC3C7"/>
              <w:left w:val="single" w:sz="4" w:color="BDC3C7"/>
              <w:right w:val="single" w:sz="4" w:color="BDC3C7"/>
            </w:tcBorders>
          </w:tcPr>
          <w:p>
            <w:r>
              <w:t>13</w:t>
            </w:r>
          </w:p>
        </w:tc>
        <w:tc>
          <w:tcPr>
            <w:tcW w:type="dxa" w:w="1399"/>
            <w:tcBorders>
              <w:top w:val="single" w:sz="4" w:color="BDC3C7"/>
              <w:bottom w:val="single" w:sz="4" w:color="BDC3C7"/>
              <w:left w:val="single" w:sz="4" w:color="BDC3C7"/>
              <w:right w:val="single" w:sz="4" w:color="BDC3C7"/>
            </w:tcBorders>
          </w:tcPr>
          <w:p>
            <w:r>
              <w:t>-16.5%</w:t>
            </w:r>
          </w:p>
        </w:tc>
        <w:tc>
          <w:tcPr>
            <w:tcW w:type="dxa" w:w="1399"/>
            <w:tcBorders>
              <w:top w:val="single" w:sz="4" w:color="BDC3C7"/>
              <w:bottom w:val="single" w:sz="4" w:color="BDC3C7"/>
              <w:left w:val="single" w:sz="4" w:color="BDC3C7"/>
              <w:right w:val="single" w:sz="4" w:color="BDC3C7"/>
            </w:tcBorders>
          </w:tcPr>
          <w:p>
            <w:r>
              <w:t>≈ +0.001</w:t>
            </w:r>
          </w:p>
        </w:tc>
        <w:tc>
          <w:tcPr>
            <w:tcW w:type="dxa" w:w="1399"/>
            <w:tcBorders>
              <w:top w:val="single" w:sz="4" w:color="BDC3C7"/>
              <w:bottom w:val="single" w:sz="4" w:color="BDC3C7"/>
              <w:left w:val="single" w:sz="4" w:color="BDC3C7"/>
              <w:right w:val="single" w:sz="4" w:color="BDC3C7"/>
            </w:tcBorders>
          </w:tcPr>
          <w:p>
            <w:r>
              <w:t>↑2 / ↓2</w:t>
            </w:r>
          </w:p>
        </w:tc>
      </w:tr>
      <w:tr>
        <w:tc>
          <w:tcPr>
            <w:tcW w:type="dxa" w:w="1399"/>
            <w:tcBorders>
              <w:top w:val="single" w:sz="4" w:color="BDC3C7"/>
              <w:bottom w:val="single" w:sz="4" w:color="BDC3C7"/>
              <w:left w:val="single" w:sz="4" w:color="BDC3C7"/>
              <w:right w:val="single" w:sz="4" w:color="BDC3C7"/>
            </w:tcBorders>
          </w:tcPr>
          <w:p>
            <w:r>
              <w:t>Next Quarter</w:t>
            </w:r>
          </w:p>
        </w:tc>
        <w:tc>
          <w:tcPr>
            <w:tcW w:type="dxa" w:w="1399"/>
            <w:tcBorders>
              <w:top w:val="single" w:sz="4" w:color="BDC3C7"/>
              <w:bottom w:val="single" w:sz="4" w:color="BDC3C7"/>
              <w:left w:val="single" w:sz="4" w:color="BDC3C7"/>
              <w:right w:val="single" w:sz="4" w:color="BDC3C7"/>
            </w:tcBorders>
          </w:tcPr>
          <w:p>
            <w:r>
              <w:t>$0.35</w:t>
            </w:r>
          </w:p>
        </w:tc>
        <w:tc>
          <w:tcPr>
            <w:tcW w:type="dxa" w:w="1399"/>
            <w:tcBorders>
              <w:top w:val="single" w:sz="4" w:color="BDC3C7"/>
              <w:bottom w:val="single" w:sz="4" w:color="BDC3C7"/>
              <w:left w:val="single" w:sz="4" w:color="BDC3C7"/>
              <w:right w:val="single" w:sz="4" w:color="BDC3C7"/>
            </w:tcBorders>
          </w:tcPr>
          <w:p>
            <w:r>
              <w:t>$0.30 – $0.43</w:t>
            </w:r>
          </w:p>
        </w:tc>
        <w:tc>
          <w:tcPr>
            <w:tcW w:type="dxa" w:w="1399"/>
            <w:tcBorders>
              <w:top w:val="single" w:sz="4" w:color="BDC3C7"/>
              <w:bottom w:val="single" w:sz="4" w:color="BDC3C7"/>
              <w:left w:val="single" w:sz="4" w:color="BDC3C7"/>
              <w:right w:val="single" w:sz="4" w:color="BDC3C7"/>
            </w:tcBorders>
          </w:tcPr>
          <w:p>
            <w:r>
              <w:t>12</w:t>
            </w:r>
          </w:p>
        </w:tc>
        <w:tc>
          <w:tcPr>
            <w:tcW w:type="dxa" w:w="1399"/>
            <w:tcBorders>
              <w:top w:val="single" w:sz="4" w:color="BDC3C7"/>
              <w:bottom w:val="single" w:sz="4" w:color="BDC3C7"/>
              <w:left w:val="single" w:sz="4" w:color="BDC3C7"/>
              <w:right w:val="single" w:sz="4" w:color="BDC3C7"/>
            </w:tcBorders>
          </w:tcPr>
          <w:p>
            <w:r>
              <w:t>-3.3%</w:t>
            </w:r>
          </w:p>
        </w:tc>
        <w:tc>
          <w:tcPr>
            <w:tcW w:type="dxa" w:w="1399"/>
            <w:tcBorders>
              <w:top w:val="single" w:sz="4" w:color="BDC3C7"/>
              <w:bottom w:val="single" w:sz="4" w:color="BDC3C7"/>
              <w:left w:val="single" w:sz="4" w:color="BDC3C7"/>
              <w:right w:val="single" w:sz="4" w:color="BDC3C7"/>
            </w:tcBorders>
          </w:tcPr>
          <w:p>
            <w:r>
              <w:t>≈ +0.004</w:t>
            </w:r>
          </w:p>
        </w:tc>
        <w:tc>
          <w:tcPr>
            <w:tcW w:type="dxa" w:w="1399"/>
            <w:tcBorders>
              <w:top w:val="single" w:sz="4" w:color="BDC3C7"/>
              <w:bottom w:val="single" w:sz="4" w:color="BDC3C7"/>
              <w:left w:val="single" w:sz="4" w:color="BDC3C7"/>
              <w:right w:val="single" w:sz="4" w:color="BDC3C7"/>
            </w:tcBorders>
          </w:tcPr>
          <w:p>
            <w:r>
              <w:t>↑1 / ↓4</w:t>
            </w:r>
          </w:p>
        </w:tc>
      </w:tr>
      <w:tr>
        <w:tc>
          <w:tcPr>
            <w:tcW w:type="dxa" w:w="1399"/>
            <w:tcBorders>
              <w:top w:val="single" w:sz="4" w:color="BDC3C7"/>
              <w:bottom w:val="single" w:sz="4" w:color="BDC3C7"/>
              <w:left w:val="single" w:sz="4" w:color="BDC3C7"/>
              <w:right w:val="single" w:sz="4" w:color="BDC3C7"/>
            </w:tcBorders>
          </w:tcPr>
          <w:p>
            <w:r>
              <w:t>Current Fiscal Year</w:t>
            </w:r>
          </w:p>
        </w:tc>
        <w:tc>
          <w:tcPr>
            <w:tcW w:type="dxa" w:w="1399"/>
            <w:tcBorders>
              <w:top w:val="single" w:sz="4" w:color="BDC3C7"/>
              <w:bottom w:val="single" w:sz="4" w:color="BDC3C7"/>
              <w:left w:val="single" w:sz="4" w:color="BDC3C7"/>
              <w:right w:val="single" w:sz="4" w:color="BDC3C7"/>
            </w:tcBorders>
          </w:tcPr>
          <w:p>
            <w:r>
              <w:t>$1.31</w:t>
            </w:r>
          </w:p>
        </w:tc>
        <w:tc>
          <w:tcPr>
            <w:tcW w:type="dxa" w:w="1399"/>
            <w:tcBorders>
              <w:top w:val="single" w:sz="4" w:color="BDC3C7"/>
              <w:bottom w:val="single" w:sz="4" w:color="BDC3C7"/>
              <w:left w:val="single" w:sz="4" w:color="BDC3C7"/>
              <w:right w:val="single" w:sz="4" w:color="BDC3C7"/>
            </w:tcBorders>
          </w:tcPr>
          <w:p>
            <w:r>
              <w:t>$1.13 – $1.52</w:t>
            </w:r>
          </w:p>
        </w:tc>
        <w:tc>
          <w:tcPr>
            <w:tcW w:type="dxa" w:w="1399"/>
            <w:tcBorders>
              <w:top w:val="single" w:sz="4" w:color="BDC3C7"/>
              <w:bottom w:val="single" w:sz="4" w:color="BDC3C7"/>
              <w:left w:val="single" w:sz="4" w:color="BDC3C7"/>
              <w:right w:val="single" w:sz="4" w:color="BDC3C7"/>
            </w:tcBorders>
          </w:tcPr>
          <w:p>
            <w:r>
              <w:t>13</w:t>
            </w:r>
          </w:p>
        </w:tc>
        <w:tc>
          <w:tcPr>
            <w:tcW w:type="dxa" w:w="1399"/>
            <w:tcBorders>
              <w:top w:val="single" w:sz="4" w:color="BDC3C7"/>
              <w:bottom w:val="single" w:sz="4" w:color="BDC3C7"/>
              <w:left w:val="single" w:sz="4" w:color="BDC3C7"/>
              <w:right w:val="single" w:sz="4" w:color="BDC3C7"/>
            </w:tcBorders>
          </w:tcPr>
          <w:p>
            <w:r>
              <w:t>-1.8%</w:t>
            </w:r>
          </w:p>
        </w:tc>
        <w:tc>
          <w:tcPr>
            <w:tcW w:type="dxa" w:w="1399"/>
            <w:tcBorders>
              <w:top w:val="single" w:sz="4" w:color="BDC3C7"/>
              <w:bottom w:val="single" w:sz="4" w:color="BDC3C7"/>
              <w:left w:val="single" w:sz="4" w:color="BDC3C7"/>
              <w:right w:val="single" w:sz="4" w:color="BDC3C7"/>
            </w:tcBorders>
          </w:tcPr>
          <w:p>
            <w:r>
              <w:t>↑ +0.011</w:t>
            </w:r>
          </w:p>
        </w:tc>
        <w:tc>
          <w:tcPr>
            <w:tcW w:type="dxa" w:w="1399"/>
            <w:tcBorders>
              <w:top w:val="single" w:sz="4" w:color="BDC3C7"/>
              <w:bottom w:val="single" w:sz="4" w:color="BDC3C7"/>
              <w:left w:val="single" w:sz="4" w:color="BDC3C7"/>
              <w:right w:val="single" w:sz="4" w:color="BDC3C7"/>
            </w:tcBorders>
          </w:tcPr>
          <w:p>
            <w:r>
              <w:t>↑1 / ↓4</w:t>
            </w:r>
          </w:p>
        </w:tc>
      </w:tr>
      <w:tr>
        <w:tc>
          <w:tcPr>
            <w:tcW w:type="dxa" w:w="1399"/>
            <w:tcBorders>
              <w:top w:val="single" w:sz="4" w:color="BDC3C7"/>
              <w:bottom w:val="single" w:sz="4" w:color="BDC3C7"/>
              <w:left w:val="single" w:sz="4" w:color="BDC3C7"/>
              <w:right w:val="single" w:sz="4" w:color="BDC3C7"/>
            </w:tcBorders>
          </w:tcPr>
          <w:p>
            <w:r>
              <w:t>Next Fiscal Year</w:t>
            </w:r>
          </w:p>
        </w:tc>
        <w:tc>
          <w:tcPr>
            <w:tcW w:type="dxa" w:w="1399"/>
            <w:tcBorders>
              <w:top w:val="single" w:sz="4" w:color="BDC3C7"/>
              <w:bottom w:val="single" w:sz="4" w:color="BDC3C7"/>
              <w:left w:val="single" w:sz="4" w:color="BDC3C7"/>
              <w:right w:val="single" w:sz="4" w:color="BDC3C7"/>
            </w:tcBorders>
          </w:tcPr>
          <w:p>
            <w:r>
              <w:t>$1.54</w:t>
            </w:r>
          </w:p>
        </w:tc>
        <w:tc>
          <w:tcPr>
            <w:tcW w:type="dxa" w:w="1399"/>
            <w:tcBorders>
              <w:top w:val="single" w:sz="4" w:color="BDC3C7"/>
              <w:bottom w:val="single" w:sz="4" w:color="BDC3C7"/>
              <w:left w:val="single" w:sz="4" w:color="BDC3C7"/>
              <w:right w:val="single" w:sz="4" w:color="BDC3C7"/>
            </w:tcBorders>
          </w:tcPr>
          <w:p>
            <w:r>
              <w:t>$1.40 – $1.72</w:t>
            </w:r>
          </w:p>
        </w:tc>
        <w:tc>
          <w:tcPr>
            <w:tcW w:type="dxa" w:w="1399"/>
            <w:tcBorders>
              <w:top w:val="single" w:sz="4" w:color="BDC3C7"/>
              <w:bottom w:val="single" w:sz="4" w:color="BDC3C7"/>
              <w:left w:val="single" w:sz="4" w:color="BDC3C7"/>
              <w:right w:val="single" w:sz="4" w:color="BDC3C7"/>
            </w:tcBorders>
          </w:tcPr>
          <w:p>
            <w:r>
              <w:t>12</w:t>
            </w:r>
          </w:p>
        </w:tc>
        <w:tc>
          <w:tcPr>
            <w:tcW w:type="dxa" w:w="1399"/>
            <w:tcBorders>
              <w:top w:val="single" w:sz="4" w:color="BDC3C7"/>
              <w:bottom w:val="single" w:sz="4" w:color="BDC3C7"/>
              <w:left w:val="single" w:sz="4" w:color="BDC3C7"/>
              <w:right w:val="single" w:sz="4" w:color="BDC3C7"/>
            </w:tcBorders>
          </w:tcPr>
          <w:p>
            <w:r>
              <w:t>+17.9%</w:t>
            </w:r>
          </w:p>
        </w:tc>
        <w:tc>
          <w:tcPr>
            <w:tcW w:type="dxa" w:w="1399"/>
            <w:tcBorders>
              <w:top w:val="single" w:sz="4" w:color="BDC3C7"/>
              <w:bottom w:val="single" w:sz="4" w:color="BDC3C7"/>
              <w:left w:val="single" w:sz="4" w:color="BDC3C7"/>
              <w:right w:val="single" w:sz="4" w:color="BDC3C7"/>
            </w:tcBorders>
          </w:tcPr>
          <w:p>
            <w:r>
              <w:t>≈ +0.004</w:t>
            </w:r>
          </w:p>
        </w:tc>
        <w:tc>
          <w:tcPr>
            <w:tcW w:type="dxa" w:w="1399"/>
            <w:tcBorders>
              <w:top w:val="single" w:sz="4" w:color="BDC3C7"/>
              <w:bottom w:val="single" w:sz="4" w:color="BDC3C7"/>
              <w:left w:val="single" w:sz="4" w:color="BDC3C7"/>
              <w:right w:val="single" w:sz="4" w:color="BDC3C7"/>
            </w:tcBorders>
          </w:tcPr>
          <w:p>
            <w:r>
              <w:t>↑1 / ↓5</w:t>
            </w:r>
          </w:p>
        </w:tc>
      </w:tr>
    </w:tbl>
    <w:p>
      <w:r>
        <w:t>Revenue consensus: Q $1.58B (-2.1%)  |  Q+1 $1.74B (+0.8%)  |  FY $6.70B (+0.5%)  |  FY+1 $6.93B (+3.5%)</w:t>
      </w:r>
    </w:p>
    <w:p>
      <w:r>
        <w:t>Price targets: Mean $26.08  |  Median $25.50  |  Range $19.00–$35.00  |  Current $20.09 (+29.8% to mean)</w:t>
      </w:r>
    </w:p>
    <w:p>
      <w:r>
        <w:t>Analyst ratings (n=13): Strong Buy 5 · Buy 6 · Hold 2 · Sell 0 · Strong Sell 0  ·  85% bullish</w:t>
      </w:r>
    </w:p>
    <w:p>
      <w:r>
        <w:t>Next earnings: 2026-05-07 (3d out)  ·  EPS $0.24 ($0.19–$0.30)  ·  Rev $1.58B</w:t>
      </w:r>
    </w:p>
    <w:p>
      <w:pPr>
        <w:pStyle w:val="SectionHeading"/>
      </w:pPr>
      <w:r>
        <w:t>1. Research Synthesis</w:t>
      </w:r>
    </w:p>
    <w:p>
      <w:r>
        <w:t>Primo Brands presents a classic post-merger integration story where operational disruptions have masked the underlying business fundamentals, but the path forward appears largely in line with both management guidance and street expectations. The company's Q4 2025 results showed net sales of $1.554B, down 2.5% on a comparable basis, with the decline primarily driven by direct delivery customer base erosion during integration rounds. However, management emphasized that 'early signs that our initiatives are resulting in an improved trajectory for the business' with comparable adjusted EBITDA up 11% to $334.1M and margins expanding 260 basis points to 21.5%.</w:t>
      </w:r>
    </w:p>
    <w:p>
      <w:r>
        <w:t>The sequential trajectory analysis reveals normal seasonal patterns rather than concerning deceleration. Q4 2025 revenue of $1.554B declined 12.0% sequentially from Q3 2025's $1.766B, but this appears consistent with typical beverage industry seasonality where Q4 typically sees sequential declines from Q3 peaks. Without prior-year quarterly comparisons readily available in the corpus, this seasonal pattern cannot be fully verified, but management's confidence in Q4 call suggests this is within normal bounds.</w:t>
      </w:r>
    </w:p>
    <w:p>
      <w:pPr>
        <w:pStyle w:val="ListBullet"/>
      </w:pPr>
      <w:r>
        <w:rPr>
          <w:i/>
        </w:rPr>
        <w:t>→ Research: Recent insider activity shows material open-market buying: Director Steven P. Stanbrook purchased 54,540 shares on Nov 13, 2025 at $16.43/share ($896k), and an unnamed insider bought 128,019 shares Nov 11-12, 2025 at ~$15.52-$16.15. Over 3 months, insiders bought $3.2M in stock with zero sales. This buying pattern aligns with management confidence but recent director compensation grants (Apr 2026) (dailypolitical.com)</w:t>
      </w:r>
    </w:p>
    <w:p>
      <w:pPr>
        <w:pStyle w:val="ListBullet"/>
      </w:pPr>
      <w:r>
        <w:rPr>
          <w:i/>
        </w:rPr>
        <w:t>→ Research: Search results confirm temperature-demand elasticity for bottled water: a 1°C increase correlates with ~0.2 bottle increase in consumption. Summer 2025 data shows peak bottled water search interest in August-September, supporting thesis that hot weather drives demand pull-forward effects. (sciencedirect.com)</w:t>
      </w:r>
    </w:p>
    <w:p>
      <w:r>
        <w:t>Management's FY2026 guidance provides clear anchoring points: 0-1% organic net sales growth on a base of $6.635B (excluding the exited office coffee service business), adjusted EBITDA of $1.485-1.515B, and adjusted free cash flow of $790-810M. CFO David Hernandez noted on the Q4 call that 'we expect organic net sales growth in the range of 0% to 1%, with the return to growth weighted in the second half' and 'we face a difficult first quarter comparison, cycling 3% year-over-year sales growth.' This guidance framework suggests management expects H1 2026 to remain challenging before inflecting in H2.</w:t>
      </w:r>
    </w:p>
    <w:p>
      <w:r>
        <w:t>The direct delivery recovery represents the key operational catalyst. This channel generated $633.2M in Q4 2025, down 5.3% year-over-year, but management noted month-to-month improvement in customer net additions despite still being negative overall. CEO Eric Foss emphasized that 'integration rounds 6 and 7 on track to be completed within the first half of 2026' per the deck, which should eliminate remaining service disruptions. The direct delivery business historically represented ~40% of total revenue pre-integration, so stabilization here is critical for overall growth recovery.</w:t>
      </w:r>
    </w:p>
    <w:p>
      <w:pPr>
        <w:pStyle w:val="ListBullet"/>
      </w:pPr>
      <w:r>
        <w:rPr>
          <w:i/>
        </w:rPr>
        <w:t>→ Research confirms: Primo Brands completed five of seven integration rounds in 2025; remaining two rounds scheduled for completion in first half of 2026, directly confirming the verbatim claim. (investing.com)</w:t>
      </w:r>
    </w:p>
    <w:p>
      <w:r>
        <w:t>Premium brand performance provides a bright spot with clear capacity expansion catalysts. Premium Water segment revenue grew 39.1% in Q4 2025 to $90.3M and 43.9% for full year 2025 to $349.9M. Management is investing heavily in capacity expansion with the Mountain Valley Factory expected operational mid-2026 and Saratoga Hawkins expansion operational by spring 2026. These investments should support continued double-digit growth in the premium segment, though the absolute dollar impact remains modest given the segment's ~5% revenue share.</w:t>
      </w:r>
    </w:p>
    <w:p>
      <w:pPr>
        <w:pStyle w:val="ListBullet"/>
      </w:pPr>
      <w:r>
        <w:rPr>
          <w:i/>
        </w:rPr>
        <w:t>→ Research [UPDATES]: Mountain Valley Factory timing differs from brief: sources confirm spring 2026 operational date (not mid-2026). Saratoga Hawkins expansion confirmed for spring 2026 as stated. (investing.com)</w:t>
      </w:r>
    </w:p>
    <w:p>
      <w:r>
        <w:t>Margin expansion trajectory appears sustainable based on synergy capture progress. Management achieved $140M in estimated annualized cost savings through 2025 integration activities, with comparable adjusted EBITDA margins expanding 170 basis points to 21.7% for full year 2025. The FY2026 EBITDA guidance of $1.485-1.515B on revenue guidance midpoint of ~$6.67B implies margins of 22.3-22.7%, representing 60-100 basis points of further expansion. This progression appears achievable given ongoing synergy realization and the completion of integration rounds 6 and 7.</w:t>
      </w:r>
    </w:p>
    <w:p>
      <w:r>
        <w:t>Capital allocation priorities remain balanced between growth investment and shareholder returns. The company returned $344M to shareholders in 2025 through dividends and buybacks under a $300M program, with $107M remaining available. Base CapEx guidance of 4% of net sales (~$267M on $6.67B revenue) supports maintenance and growth initiatives including the premium brand capacity expansions. Net leverage of 3.37x provides flexibility while management focuses on deleveraging through cash flow generation.</w:t>
      </w:r>
    </w:p>
    <w:p>
      <w:pPr>
        <w:pStyle w:val="ListBullet"/>
      </w:pPr>
      <w:r>
        <w:rPr>
          <w:i/>
        </w:rPr>
        <w:t>→ Research: BlueTriton backed by One Rock Capital Partners holds 57% of Primo Brands post-merger (via Triton Water Parent Holdings, LP at 58%), while former Primo Water shareholders hold 43%. One Rock's PE ownership structure creates material exit overhang and capital allocation pressures: $300M share buyback authorized despite 3.37x net leverage, signaling tension between deleveraging and shareholder returns (sec.gov)</w:t>
      </w:r>
    </w:p>
    <w:p>
      <w:r>
        <w:t>The street's FY2026 EPS consensus of $1.31 appears reasonable when reconciled against management's guidance framework. With EBITDA guidance midpoint of $1.5B, net interest expense likely ~$325M based on current debt levels, and the 44.6% tax rate from FY2025 financials, the implied net income would be ~$510M or $1.36 per share on 374.9M diluted shares. This rough calculation sits close to consensus, suggesting limited edge opportunity.</w:t>
      </w:r>
    </w:p>
    <w:p>
      <w:pPr>
        <w:pStyle w:val="ListBullet"/>
      </w:pPr>
      <w:r>
        <w:rPr>
          <w:i/>
        </w:rPr>
        <w:t>→ Research [UPDATES]: Primo Brands reported net interest expense of $334.9M (TTM as of 12/31/2024) and $339.6M (full year 2024), with total debt of $5,249.1M at 5.51% weighted average rate as of year-end 2025. The ~$325M estimate understates actual interest expense. (yahoo.com)</w:t>
      </w:r>
    </w:p>
    <w:p>
      <w:r>
        <w:t>Risk factors center on direct delivery recovery timing and premium brand capacity utilization. If integration rounds 6 and 7 face delays or customer win-back proves slower than expected, H2 2026 growth recovery could disappoint. Additionally, the premium brand capacity investments represent meaningful CapEx commitments that require strong demand realization to generate returns. However, management's track record of integration execution and the structural tailwinds in bottled water consumption provide reasonable confidence in the base case scenario.</w:t>
      </w:r>
    </w:p>
    <w:p>
      <w:pPr>
        <w:pStyle w:val="ListBullet"/>
      </w:pPr>
      <w:r>
        <w:rPr>
          <w:i/>
        </w:rPr>
        <w:t>→ Research: Foss has documented integration execution track record: led PepsiCo bottling operations integration (2010–2011) delivering "substantial synergies," and at Aramark (2012–2019) achieved consistent sales/earnings growth and shareholder value. Current PRMB role (CEO since Nov 2025) provides recent integration credibility for timeline/synergy delivery confidence. (prnewswire.com)</w:t>
      </w:r>
    </w:p>
    <w:p>
      <w:pPr>
        <w:pStyle w:val="SubHeading"/>
      </w:pPr>
      <w:r>
        <w:t>Published anchors (reference):</w:t>
      </w:r>
    </w:p>
    <w:tbl>
      <w:tblPr>
        <w:tblW w:type="auto" w:w="0"/>
        <w:tblLook w:firstColumn="1" w:firstRow="1" w:lastColumn="0" w:lastRow="0" w:noHBand="0" w:noVBand="1" w:val="04A0"/>
      </w:tblPr>
      <w:tblGrid>
        <w:gridCol w:w="3264"/>
        <w:gridCol w:w="3264"/>
        <w:gridCol w:w="3264"/>
      </w:tblGrid>
      <w:tr>
        <w:tc>
          <w:tcPr>
            <w:tcW w:type="dxa" w:w="3264"/>
            <w:shd w:val="clear" w:color="auto" w:fill="E8EDF5"/>
            <w:tcBorders>
              <w:top w:val="single" w:sz="4" w:color="BDC3C7"/>
              <w:bottom w:val="single" w:sz="4" w:color="BDC3C7"/>
              <w:left w:val="single" w:sz="4" w:color="BDC3C7"/>
              <w:right w:val="single" w:sz="4" w:color="BDC3C7"/>
            </w:tcBorders>
          </w:tcPr>
          <w:p>
            <w:r>
              <w:rPr>
                <w:b/>
              </w:rPr>
              <w:t>Period</w:t>
            </w:r>
          </w:p>
        </w:tc>
        <w:tc>
          <w:tcPr>
            <w:tcW w:type="dxa" w:w="3264"/>
            <w:shd w:val="clear" w:color="auto" w:fill="E8EDF5"/>
            <w:tcBorders>
              <w:top w:val="single" w:sz="4" w:color="BDC3C7"/>
              <w:bottom w:val="single" w:sz="4" w:color="BDC3C7"/>
              <w:left w:val="single" w:sz="4" w:color="BDC3C7"/>
              <w:right w:val="single" w:sz="4" w:color="BDC3C7"/>
            </w:tcBorders>
          </w:tcPr>
          <w:p>
            <w:r>
              <w:rPr>
                <w:b/>
              </w:rPr>
              <w:t>EPS</w:t>
            </w:r>
          </w:p>
        </w:tc>
        <w:tc>
          <w:tcPr>
            <w:tcW w:type="dxa" w:w="3264"/>
            <w:shd w:val="clear" w:color="auto" w:fill="E8EDF5"/>
            <w:tcBorders>
              <w:top w:val="single" w:sz="4" w:color="BDC3C7"/>
              <w:bottom w:val="single" w:sz="4" w:color="BDC3C7"/>
              <w:left w:val="single" w:sz="4" w:color="BDC3C7"/>
              <w:right w:val="single" w:sz="4" w:color="BDC3C7"/>
            </w:tcBorders>
          </w:tcPr>
          <w:p>
            <w:r>
              <w:rPr>
                <w:b/>
              </w:rPr>
              <w:t>Revenue</w:t>
            </w:r>
          </w:p>
        </w:tc>
      </w:tr>
      <w:tr>
        <w:tc>
          <w:tcPr>
            <w:tcW w:type="dxa" w:w="3264"/>
            <w:tcBorders>
              <w:top w:val="single" w:sz="4" w:color="BDC3C7"/>
              <w:bottom w:val="single" w:sz="4" w:color="BDC3C7"/>
              <w:left w:val="single" w:sz="4" w:color="BDC3C7"/>
              <w:right w:val="single" w:sz="4" w:color="BDC3C7"/>
            </w:tcBorders>
          </w:tcPr>
          <w:p>
            <w:r>
              <w:t>Current Q</w:t>
            </w:r>
          </w:p>
        </w:tc>
        <w:tc>
          <w:tcPr>
            <w:tcW w:type="dxa" w:w="3264"/>
            <w:tcBorders>
              <w:top w:val="single" w:sz="4" w:color="BDC3C7"/>
              <w:bottom w:val="single" w:sz="4" w:color="BDC3C7"/>
              <w:left w:val="single" w:sz="4" w:color="BDC3C7"/>
              <w:right w:val="single" w:sz="4" w:color="BDC3C7"/>
            </w:tcBorders>
          </w:tcPr>
          <w:p>
            <w:r>
              <w:t>$0.24</w:t>
            </w:r>
          </w:p>
        </w:tc>
        <w:tc>
          <w:tcPr>
            <w:tcW w:type="dxa" w:w="3264"/>
            <w:tcBorders>
              <w:top w:val="single" w:sz="4" w:color="BDC3C7"/>
              <w:bottom w:val="single" w:sz="4" w:color="BDC3C7"/>
              <w:left w:val="single" w:sz="4" w:color="BDC3C7"/>
              <w:right w:val="single" w:sz="4" w:color="BDC3C7"/>
            </w:tcBorders>
          </w:tcPr>
          <w:p>
            <w:r>
              <w:t>$1,579M</w:t>
            </w:r>
          </w:p>
        </w:tc>
      </w:tr>
      <w:tr>
        <w:tc>
          <w:tcPr>
            <w:tcW w:type="dxa" w:w="3264"/>
            <w:tcBorders>
              <w:top w:val="single" w:sz="4" w:color="BDC3C7"/>
              <w:bottom w:val="single" w:sz="4" w:color="BDC3C7"/>
              <w:left w:val="single" w:sz="4" w:color="BDC3C7"/>
              <w:right w:val="single" w:sz="4" w:color="BDC3C7"/>
            </w:tcBorders>
          </w:tcPr>
          <w:p>
            <w:r>
              <w:t>Next Q</w:t>
            </w:r>
          </w:p>
        </w:tc>
        <w:tc>
          <w:tcPr>
            <w:tcW w:type="dxa" w:w="3264"/>
            <w:tcBorders>
              <w:top w:val="single" w:sz="4" w:color="BDC3C7"/>
              <w:bottom w:val="single" w:sz="4" w:color="BDC3C7"/>
              <w:left w:val="single" w:sz="4" w:color="BDC3C7"/>
              <w:right w:val="single" w:sz="4" w:color="BDC3C7"/>
            </w:tcBorders>
          </w:tcPr>
          <w:p>
            <w:r>
              <w:t>$0.35</w:t>
            </w:r>
          </w:p>
        </w:tc>
        <w:tc>
          <w:tcPr>
            <w:tcW w:type="dxa" w:w="3264"/>
            <w:tcBorders>
              <w:top w:val="single" w:sz="4" w:color="BDC3C7"/>
              <w:bottom w:val="single" w:sz="4" w:color="BDC3C7"/>
              <w:left w:val="single" w:sz="4" w:color="BDC3C7"/>
              <w:right w:val="single" w:sz="4" w:color="BDC3C7"/>
            </w:tcBorders>
          </w:tcPr>
          <w:p>
            <w:r>
              <w:t>$1,744M</w:t>
            </w:r>
          </w:p>
        </w:tc>
      </w:tr>
      <w:tr>
        <w:tc>
          <w:tcPr>
            <w:tcW w:type="dxa" w:w="3264"/>
            <w:tcBorders>
              <w:top w:val="single" w:sz="4" w:color="BDC3C7"/>
              <w:bottom w:val="single" w:sz="4" w:color="BDC3C7"/>
              <w:left w:val="single" w:sz="4" w:color="BDC3C7"/>
              <w:right w:val="single" w:sz="4" w:color="BDC3C7"/>
            </w:tcBorders>
          </w:tcPr>
          <w:p>
            <w:r>
              <w:t>Current FY</w:t>
            </w:r>
          </w:p>
        </w:tc>
        <w:tc>
          <w:tcPr>
            <w:tcW w:type="dxa" w:w="3264"/>
            <w:tcBorders>
              <w:top w:val="single" w:sz="4" w:color="BDC3C7"/>
              <w:bottom w:val="single" w:sz="4" w:color="BDC3C7"/>
              <w:left w:val="single" w:sz="4" w:color="BDC3C7"/>
              <w:right w:val="single" w:sz="4" w:color="BDC3C7"/>
            </w:tcBorders>
          </w:tcPr>
          <w:p>
            <w:r>
              <w:t>$1.31</w:t>
            </w:r>
          </w:p>
        </w:tc>
        <w:tc>
          <w:tcPr>
            <w:tcW w:type="dxa" w:w="3264"/>
            <w:tcBorders>
              <w:top w:val="single" w:sz="4" w:color="BDC3C7"/>
              <w:bottom w:val="single" w:sz="4" w:color="BDC3C7"/>
              <w:left w:val="single" w:sz="4" w:color="BDC3C7"/>
              <w:right w:val="single" w:sz="4" w:color="BDC3C7"/>
            </w:tcBorders>
          </w:tcPr>
          <w:p>
            <w:r>
              <w:t>$6,696M</w:t>
            </w:r>
          </w:p>
        </w:tc>
      </w:tr>
      <w:tr>
        <w:tc>
          <w:tcPr>
            <w:tcW w:type="dxa" w:w="3264"/>
            <w:tcBorders>
              <w:top w:val="single" w:sz="4" w:color="BDC3C7"/>
              <w:bottom w:val="single" w:sz="4" w:color="BDC3C7"/>
              <w:left w:val="single" w:sz="4" w:color="BDC3C7"/>
              <w:right w:val="single" w:sz="4" w:color="BDC3C7"/>
            </w:tcBorders>
          </w:tcPr>
          <w:p>
            <w:r>
              <w:t>Next FY</w:t>
            </w:r>
          </w:p>
        </w:tc>
        <w:tc>
          <w:tcPr>
            <w:tcW w:type="dxa" w:w="3264"/>
            <w:tcBorders>
              <w:top w:val="single" w:sz="4" w:color="BDC3C7"/>
              <w:bottom w:val="single" w:sz="4" w:color="BDC3C7"/>
              <w:left w:val="single" w:sz="4" w:color="BDC3C7"/>
              <w:right w:val="single" w:sz="4" w:color="BDC3C7"/>
            </w:tcBorders>
          </w:tcPr>
          <w:p>
            <w:r>
              <w:t>$1.54</w:t>
            </w:r>
          </w:p>
        </w:tc>
        <w:tc>
          <w:tcPr>
            <w:tcW w:type="dxa" w:w="3264"/>
            <w:tcBorders>
              <w:top w:val="single" w:sz="4" w:color="BDC3C7"/>
              <w:bottom w:val="single" w:sz="4" w:color="BDC3C7"/>
              <w:left w:val="single" w:sz="4" w:color="BDC3C7"/>
              <w:right w:val="single" w:sz="4" w:color="BDC3C7"/>
            </w:tcBorders>
          </w:tcPr>
          <w:p>
            <w:r>
              <w:t>$6,933M</w:t>
            </w:r>
          </w:p>
        </w:tc>
      </w:tr>
    </w:tbl>
    <w:p>
      <w:pPr>
        <w:pStyle w:val="SubHeading"/>
      </w:pPr>
      <w:r>
        <w:t>Management guidance:</w:t>
      </w:r>
    </w:p>
    <w:p>
      <w:pPr>
        <w:pStyle w:val="ListBullet"/>
      </w:pPr>
      <w:r>
        <w:t>Capacity Expansion Timing (mid-2026): Mountain Valley Factory expected to be operational mid-2026  — Deck p.4</w:t>
      </w:r>
    </w:p>
    <w:p>
      <w:pPr>
        <w:pStyle w:val="ListBullet"/>
      </w:pPr>
      <w:r>
        <w:t>Capacity Expansion Timing (spring 2026): Saratoga Hawkins expansion expected to be operational by spring 2026  — Deck p.4</w:t>
      </w:r>
    </w:p>
    <w:p>
      <w:pPr>
        <w:pStyle w:val="ListBullet"/>
      </w:pPr>
      <w:r>
        <w:t>Integration Completion Timing (first half of 2026): Integration rounds 6 and 7 on track to be completed within the first half of 2026  — Deck p.6</w:t>
      </w:r>
    </w:p>
    <w:p>
      <w:pPr>
        <w:pStyle w:val="ListBullet"/>
      </w:pPr>
      <w:r>
        <w:t>Revenue (FY2026): 0% to 1%  — Deck p.13</w:t>
      </w:r>
    </w:p>
    <w:p>
      <w:pPr>
        <w:pStyle w:val="ListBullet"/>
      </w:pPr>
      <w:r>
        <w:t>Adj. EBITDA (FY2026): $1,485 to $1,515  — Deck p.13</w:t>
      </w:r>
    </w:p>
    <w:p>
      <w:pPr>
        <w:pStyle w:val="ListBullet"/>
      </w:pPr>
      <w:r>
        <w:t>CapEx (FY2026): 4% of Net Sales  — Deck p.13</w:t>
      </w:r>
    </w:p>
    <w:p>
      <w:pPr>
        <w:pStyle w:val="ListBullet"/>
      </w:pPr>
      <w:r>
        <w:t>Free Cash Flow (FY2026): $790 to $810  — Deck p.13</w:t>
      </w:r>
    </w:p>
    <w:p>
      <w:pPr>
        <w:pStyle w:val="SectionHeading"/>
      </w:pPr>
      <w:r>
        <w:t>2. Drivers</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Driver / Component</w:t>
            </w:r>
          </w:p>
        </w:tc>
        <w:tc>
          <w:tcPr>
            <w:tcW w:type="dxa" w:w="2448"/>
            <w:shd w:val="clear" w:color="auto" w:fill="E8EDF5"/>
            <w:tcBorders>
              <w:top w:val="single" w:sz="4" w:color="BDC3C7"/>
              <w:bottom w:val="single" w:sz="4" w:color="BDC3C7"/>
              <w:left w:val="single" w:sz="4" w:color="BDC3C7"/>
              <w:right w:val="single" w:sz="4" w:color="BDC3C7"/>
            </w:tcBorders>
          </w:tcPr>
          <w:p>
            <w:r>
              <w:rPr>
                <w:b/>
              </w:rPr>
              <w:t>Value</w:t>
            </w:r>
          </w:p>
        </w:tc>
        <w:tc>
          <w:tcPr>
            <w:tcW w:type="dxa" w:w="2448"/>
            <w:shd w:val="clear" w:color="auto" w:fill="E8EDF5"/>
            <w:tcBorders>
              <w:top w:val="single" w:sz="4" w:color="BDC3C7"/>
              <w:bottom w:val="single" w:sz="4" w:color="BDC3C7"/>
              <w:left w:val="single" w:sz="4" w:color="BDC3C7"/>
              <w:right w:val="single" w:sz="4" w:color="BDC3C7"/>
            </w:tcBorders>
          </w:tcPr>
          <w:p>
            <w:r>
              <w:rPr>
                <w:b/>
              </w:rPr>
              <w:t>Conf.</w:t>
            </w:r>
          </w:p>
        </w:tc>
        <w:tc>
          <w:tcPr>
            <w:tcW w:type="dxa" w:w="2448"/>
            <w:shd w:val="clear" w:color="auto" w:fill="E8EDF5"/>
            <w:tcBorders>
              <w:top w:val="single" w:sz="4" w:color="BDC3C7"/>
              <w:bottom w:val="single" w:sz="4" w:color="BDC3C7"/>
              <w:left w:val="single" w:sz="4" w:color="BDC3C7"/>
              <w:right w:val="single" w:sz="4" w:color="BDC3C7"/>
            </w:tcBorders>
          </w:tcPr>
          <w:p>
            <w:r>
              <w:rPr>
                <w:b/>
              </w:rPr>
              <w:t>Basis</w:t>
            </w:r>
          </w:p>
        </w:tc>
      </w:tr>
      <w:tr>
        <w:tc>
          <w:tcPr>
            <w:tcW w:type="dxa" w:w="2448"/>
            <w:tcBorders>
              <w:top w:val="single" w:sz="4" w:color="BDC3C7"/>
              <w:bottom w:val="single" w:sz="4" w:color="BDC3C7"/>
              <w:left w:val="single" w:sz="4" w:color="BDC3C7"/>
              <w:right w:val="single" w:sz="4" w:color="BDC3C7"/>
            </w:tcBorders>
          </w:tcPr>
          <w:p>
            <w:r>
              <w:rPr>
                <w:b/>
              </w:rPr>
              <w:t>revenue_growth</w:t>
            </w:r>
          </w:p>
        </w:tc>
        <w:tc>
          <w:tcPr>
            <w:tcW w:type="dxa" w:w="2448"/>
            <w:tcBorders>
              <w:top w:val="single" w:sz="4" w:color="BDC3C7"/>
              <w:bottom w:val="single" w:sz="4" w:color="BDC3C7"/>
              <w:left w:val="single" w:sz="4" w:color="BDC3C7"/>
              <w:right w:val="single" w:sz="4" w:color="BDC3C7"/>
            </w:tcBorders>
          </w:tcPr>
          <w:p>
            <w:r>
              <w:rPr>
                <w:b/>
              </w:rPr>
              <w:t>+0.26%</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organic_revenue_growth</w:t>
            </w:r>
          </w:p>
        </w:tc>
        <w:tc>
          <w:tcPr>
            <w:tcW w:type="dxa" w:w="2448"/>
            <w:tcBorders>
              <w:top w:val="single" w:sz="4" w:color="BDC3C7"/>
              <w:bottom w:val="single" w:sz="4" w:color="BDC3C7"/>
              <w:left w:val="single" w:sz="4" w:color="BDC3C7"/>
              <w:right w:val="single" w:sz="4" w:color="BDC3C7"/>
            </w:tcBorders>
          </w:tcPr>
          <w:p>
            <w:r>
              <w:t>+0.26%</w:t>
            </w:r>
          </w:p>
        </w:tc>
        <w:tc>
          <w:tcPr>
            <w:tcW w:type="dxa" w:w="2448"/>
            <w:tcBorders>
              <w:top w:val="single" w:sz="4" w:color="BDC3C7"/>
              <w:bottom w:val="single" w:sz="4" w:color="BDC3C7"/>
              <w:left w:val="single" w:sz="4" w:color="BDC3C7"/>
              <w:right w:val="single" w:sz="4" w:color="BDC3C7"/>
            </w:tcBorders>
          </w:tcPr>
          <w:p>
            <w:r>
              <w:t>0.75</w:t>
            </w:r>
          </w:p>
        </w:tc>
        <w:tc>
          <w:tcPr>
            <w:tcW w:type="dxa" w:w="2448"/>
            <w:tcBorders>
              <w:top w:val="single" w:sz="4" w:color="BDC3C7"/>
              <w:bottom w:val="single" w:sz="4" w:color="BDC3C7"/>
              <w:left w:val="single" w:sz="4" w:color="BDC3C7"/>
              <w:right w:val="single" w:sz="4" w:color="BDC3C7"/>
            </w:tcBorders>
          </w:tcPr>
          <w:p>
            <w:r>
              <w:t>Management guides 0-1% organic net sales growth for FY2026 with recovery weighted to second half. On the Q4 2026 call, CFO David Hernandez stated 'we expect organic net sales growth in the range of 0% to 1%, with the ret</w:t>
            </w:r>
          </w:p>
        </w:tc>
      </w:tr>
    </w:tbl>
    <w:p>
      <w:pPr>
        <w:pStyle w:val="SubHeading"/>
      </w:pPr>
      <w:r>
        <w:t>Bear revisions:</w:t>
      </w:r>
    </w:p>
    <w:p>
      <w:pPr>
        <w:pStyle w:val="ListBullet"/>
      </w:pPr>
      <w:r>
        <w:t>revenue_growth.organic_revenue_growth: 0.43 → -1.0 — If direct delivery recovery stalls and integration rounds 6-7 face delays, organic growth could turn negative despite premium brand strength</w:t>
      </w:r>
    </w:p>
    <w:p>
      <w:pPr>
        <w:pStyle w:val="SectionHeading"/>
      </w:pPr>
      <w:r>
        <w:t>3. Consensus Gap &amp; Valuation</w:t>
      </w:r>
    </w:p>
    <w:p>
      <w:r>
        <w:t>Our EPS: $1.31  =  baseline $1.31  +  Σ claim impacts $+0.00 (0.0% below consensus $1.31)</w:t>
      </w:r>
    </w:p>
    <w:p>
      <w:pPr>
        <w:pStyle w:val="SubHeading"/>
      </w:pPr>
      <w:r>
        <w:t>EPS Bridge (consensus baseline + flow-through):</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Line</w:t>
            </w:r>
          </w:p>
        </w:tc>
        <w:tc>
          <w:tcPr>
            <w:tcW w:type="dxa" w:w="2448"/>
            <w:shd w:val="clear" w:color="auto" w:fill="E8EDF5"/>
            <w:tcBorders>
              <w:top w:val="single" w:sz="4" w:color="BDC3C7"/>
              <w:bottom w:val="single" w:sz="4" w:color="BDC3C7"/>
              <w:left w:val="single" w:sz="4" w:color="BDC3C7"/>
              <w:right w:val="single" w:sz="4" w:color="BDC3C7"/>
            </w:tcBorders>
          </w:tcPr>
          <w:p>
            <w:r>
              <w:rPr>
                <w:b/>
              </w:rPr>
              <w:t>Anchor / Δ</w:t>
            </w:r>
          </w:p>
        </w:tc>
        <w:tc>
          <w:tcPr>
            <w:tcW w:type="dxa" w:w="2448"/>
            <w:shd w:val="clear" w:color="auto" w:fill="E8EDF5"/>
            <w:tcBorders>
              <w:top w:val="single" w:sz="4" w:color="BDC3C7"/>
              <w:bottom w:val="single" w:sz="4" w:color="BDC3C7"/>
              <w:left w:val="single" w:sz="4" w:color="BDC3C7"/>
              <w:right w:val="single" w:sz="4" w:color="BDC3C7"/>
            </w:tcBorders>
          </w:tcPr>
          <w:p>
            <w:r>
              <w:rPr>
                <w:b/>
              </w:rPr>
              <w:t>Flow-through</w:t>
            </w:r>
          </w:p>
        </w:tc>
        <w:tc>
          <w:tcPr>
            <w:tcW w:type="dxa" w:w="2448"/>
            <w:shd w:val="clear" w:color="auto" w:fill="E8EDF5"/>
            <w:tcBorders>
              <w:top w:val="single" w:sz="4" w:color="BDC3C7"/>
              <w:bottom w:val="single" w:sz="4" w:color="BDC3C7"/>
              <w:left w:val="single" w:sz="4" w:color="BDC3C7"/>
              <w:right w:val="single" w:sz="4" w:color="BDC3C7"/>
            </w:tcBorders>
          </w:tcPr>
          <w:p>
            <w:r>
              <w:rPr>
                <w:b/>
              </w:rPr>
              <w:t>EPS impact</w:t>
            </w:r>
          </w:p>
        </w:tc>
      </w:tr>
      <w:tr>
        <w:tc>
          <w:tcPr>
            <w:tcW w:type="dxa" w:w="2448"/>
            <w:tcBorders>
              <w:top w:val="single" w:sz="4" w:color="BDC3C7"/>
              <w:bottom w:val="single" w:sz="4" w:color="BDC3C7"/>
              <w:left w:val="single" w:sz="4" w:color="BDC3C7"/>
              <w:right w:val="single" w:sz="4" w:color="BDC3C7"/>
            </w:tcBorders>
          </w:tcPr>
          <w:p>
            <w:r>
              <w:rPr>
                <w:b/>
              </w:rPr>
              <w:t>Baseline</w:t>
            </w:r>
          </w:p>
        </w:tc>
        <w:tc>
          <w:tcPr>
            <w:tcW w:type="dxa" w:w="2448"/>
            <w:tcBorders>
              <w:top w:val="single" w:sz="4" w:color="BDC3C7"/>
              <w:bottom w:val="single" w:sz="4" w:color="BDC3C7"/>
              <w:left w:val="single" w:sz="4" w:color="BDC3C7"/>
              <w:right w:val="single" w:sz="4" w:color="BDC3C7"/>
            </w:tcBorders>
          </w:tcPr>
          <w:p>
            <w:r>
              <w:rPr>
                <w:b/>
              </w:rPr>
              <w:t>Revenue: FY guidance midpoint; EPS: FY consensus EPS</w:t>
            </w:r>
          </w:p>
        </w:tc>
        <w:tc>
          <w:tcPr>
            <w:tcW w:type="dxa" w:w="2448"/>
            <w:tcBorders>
              <w:top w:val="single" w:sz="4" w:color="BDC3C7"/>
              <w:bottom w:val="single" w:sz="4" w:color="BDC3C7"/>
              <w:left w:val="single" w:sz="4" w:color="BDC3C7"/>
              <w:right w:val="single" w:sz="4" w:color="BDC3C7"/>
            </w:tcBorders>
          </w:tcPr>
          <w:p>
            <w:r>
              <w:rPr>
                <w:b/>
              </w:rPr>
              <w:t>—</w:t>
            </w:r>
          </w:p>
        </w:tc>
        <w:tc>
          <w:tcPr>
            <w:tcW w:type="dxa" w:w="2448"/>
            <w:tcBorders>
              <w:top w:val="single" w:sz="4" w:color="BDC3C7"/>
              <w:bottom w:val="single" w:sz="4" w:color="BDC3C7"/>
              <w:left w:val="single" w:sz="4" w:color="BDC3C7"/>
              <w:right w:val="single" w:sz="4" w:color="BDC3C7"/>
            </w:tcBorders>
          </w:tcPr>
          <w:p>
            <w:r>
              <w:rPr>
                <w:b/>
              </w:rPr>
              <w:t>$1.31</w:t>
            </w:r>
          </w:p>
        </w:tc>
      </w:tr>
      <w:tr>
        <w:tc>
          <w:tcPr>
            <w:tcW w:type="dxa" w:w="2448"/>
            <w:shd w:val="clear" w:color="auto" w:fill="E8EDF5"/>
            <w:tcBorders>
              <w:top w:val="single" w:sz="4" w:color="BDC3C7"/>
              <w:bottom w:val="single" w:sz="4" w:color="BDC3C7"/>
              <w:left w:val="single" w:sz="4" w:color="BDC3C7"/>
              <w:right w:val="single" w:sz="4" w:color="BDC3C7"/>
            </w:tcBorders>
          </w:tcPr>
          <w:p>
            <w:r>
              <w:rPr>
                <w:i/>
              </w:rPr>
              <w:t>Σ Δ</w:t>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t>+0.00</w:t>
            </w:r>
          </w:p>
        </w:tc>
      </w:tr>
      <w:tr>
        <w:tc>
          <w:tcPr>
            <w:tcW w:type="dxa" w:w="2448"/>
            <w:shd w:val="clear" w:color="auto" w:fill="E8EDF5"/>
            <w:tcBorders>
              <w:top w:val="single" w:sz="4" w:color="BDC3C7"/>
              <w:bottom w:val="single" w:sz="4" w:color="BDC3C7"/>
              <w:left w:val="single" w:sz="4" w:color="BDC3C7"/>
              <w:right w:val="single" w:sz="4" w:color="BDC3C7"/>
            </w:tcBorders>
          </w:tcPr>
          <w:p>
            <w:r>
              <w:rPr>
                <w:b/>
              </w:rPr>
              <w:t>Our EPS</w:t>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t>$1.31</w:t>
            </w:r>
          </w:p>
        </w:tc>
      </w:tr>
    </w:tbl>
    <w:p>
      <w:pPr>
        <w:pStyle w:val="PullQuote"/>
      </w:pPr>
      <w:r>
        <w:t xml:space="preserve">  ⚠ Baseline P&amp;L could not be constructed (missing consensus or shares); EPS build degraded to baseline EPS only.</w:t>
      </w:r>
    </w:p>
    <w:p>
      <w:r>
        <w:t>Our estimate is $1.60 (122.2%) below consensus $1.31. No single driver within plausible bounds can close the gap to consensus when other drivers are held at our values; the EPS variant is diffuse (top magnitude: revenue_growth.organic_revenue_growth). Variant appears NOT fully priced in based on available market data. Next catalyst: Next quarterly earnings report (2026-05-07 (3 days)). Time horizon: trade.</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w:t>
            </w:r>
          </w:p>
        </w:tc>
        <w:tc>
          <w:tcPr>
            <w:tcW w:type="dxa" w:w="1958"/>
            <w:shd w:val="clear" w:color="auto" w:fill="E8EDF5"/>
            <w:tcBorders>
              <w:top w:val="single" w:sz="4" w:color="BDC3C7"/>
              <w:bottom w:val="single" w:sz="4" w:color="BDC3C7"/>
              <w:left w:val="single" w:sz="4" w:color="BDC3C7"/>
              <w:right w:val="single" w:sz="4" w:color="BDC3C7"/>
            </w:tcBorders>
          </w:tcPr>
          <w:p>
            <w:r>
              <w:rPr>
                <w:b/>
              </w:rPr>
              <w:t>Ours</w:t>
            </w:r>
          </w:p>
        </w:tc>
        <w:tc>
          <w:tcPr>
            <w:tcW w:type="dxa" w:w="1958"/>
            <w:shd w:val="clear" w:color="auto" w:fill="E8EDF5"/>
            <w:tcBorders>
              <w:top w:val="single" w:sz="4" w:color="BDC3C7"/>
              <w:bottom w:val="single" w:sz="4" w:color="BDC3C7"/>
              <w:left w:val="single" w:sz="4" w:color="BDC3C7"/>
              <w:right w:val="single" w:sz="4" w:color="BDC3C7"/>
            </w:tcBorders>
          </w:tcPr>
          <w:p>
            <w:r>
              <w:rPr>
                <w:b/>
              </w:rPr>
              <w:t>Street</w:t>
            </w:r>
          </w:p>
        </w:tc>
        <w:tc>
          <w:tcPr>
            <w:tcW w:type="dxa" w:w="1958"/>
            <w:shd w:val="clear" w:color="auto" w:fill="E8EDF5"/>
            <w:tcBorders>
              <w:top w:val="single" w:sz="4" w:color="BDC3C7"/>
              <w:bottom w:val="single" w:sz="4" w:color="BDC3C7"/>
              <w:left w:val="single" w:sz="4" w:color="BDC3C7"/>
              <w:right w:val="single" w:sz="4" w:color="BDC3C7"/>
            </w:tcBorders>
          </w:tcPr>
          <w:p>
            <w:r>
              <w:rPr>
                <w:b/>
              </w:rPr>
              <w:t>Δ EPS</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r>
      <w:tr>
        <w:tc>
          <w:tcPr>
            <w:tcW w:type="dxa" w:w="1958"/>
            <w:tcBorders>
              <w:top w:val="single" w:sz="4" w:color="BDC3C7"/>
              <w:bottom w:val="single" w:sz="4" w:color="BDC3C7"/>
              <w:left w:val="single" w:sz="4" w:color="BDC3C7"/>
              <w:right w:val="single" w:sz="4" w:color="BDC3C7"/>
            </w:tcBorders>
          </w:tcPr>
          <w:p>
            <w:r>
              <w:t>revenue_growth.organic_revenue_growth</w:t>
            </w:r>
          </w:p>
        </w:tc>
        <w:tc>
          <w:tcPr>
            <w:tcW w:type="dxa" w:w="1958"/>
            <w:tcBorders>
              <w:top w:val="single" w:sz="4" w:color="BDC3C7"/>
              <w:bottom w:val="single" w:sz="4" w:color="BDC3C7"/>
              <w:left w:val="single" w:sz="4" w:color="BDC3C7"/>
              <w:right w:val="single" w:sz="4" w:color="BDC3C7"/>
            </w:tcBorders>
          </w:tcPr>
          <w:p>
            <w:r>
              <w:t>+0.26</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0.70</w:t>
            </w:r>
          </w:p>
        </w:tc>
      </w:tr>
    </w:tbl>
    <w:p>
      <w:pPr>
        <w:pStyle w:val="PullQuote"/>
      </w:pPr>
      <w:r>
        <w:t>Rows marked 'n/a (unreachable)' mean no single value of that driver within plausible bounds would produce consensus EPS when other drivers are held at our values — i.e., the EPS gap can't be attributed to that driver alone. The ΔEPS column is not shown for those rows because the implied-street value would be a search-bound artifact, not a real derivation.</w:t>
      </w:r>
    </w:p>
    <w:p>
      <w:r>
        <w:t>Priced in: not fully — Variant (-122.2%) exceeds implied move (5.7%). Short interest 40.4% neutral</w:t>
      </w:r>
    </w:p>
    <w:p>
      <w:r>
        <w:t>Edge verdict: ACTIONABLE_EDGE (score 0.400).</w:t>
      </w:r>
    </w:p>
    <w:p>
      <w:pPr>
        <w:pStyle w:val="SectionHeading"/>
      </w:pPr>
      <w:r>
        <w:t>4. Catalysts</w:t>
      </w:r>
    </w:p>
    <w:p>
      <w:pPr>
        <w:pStyle w:val="ListBullet"/>
      </w:pPr>
      <w:r>
        <w:t>Next quarterly earnings report (2026-05-07 (3 days)) — resolves revenue + margins + guidance; confirms or challenges</w:t>
      </w:r>
    </w:p>
    <w:p>
      <w:pPr>
        <w:pStyle w:val="ListBullet"/>
      </w:pPr>
      <w:r>
        <w:t>Resolution: Direct delivery will recover smoothly in H2 2026 (Resolves at earnings (2026-05-07)) — resolves revenue_growth; confirms or challenges</w:t>
      </w:r>
    </w:p>
    <w:p>
      <w:pPr>
        <w:pStyle w:val="ListBullet"/>
      </w:pPr>
      <w:r>
        <w:t>Specific customer retention rates and win-back metrics for direct delivery business (Unknown timing) — resolves multiple; resolves uncertainty</w:t>
      </w:r>
    </w:p>
    <w:p>
      <w:pPr>
        <w:pStyle w:val="ListBullet"/>
      </w:pPr>
      <w:r>
        <w:t>Detailed capacity utilization targets for Mountain Valley and Saratoga expansions (Unknown timing) — resolves multiple; resolves uncertainty</w:t>
      </w:r>
    </w:p>
    <w:p>
      <w:pPr>
        <w:pStyle w:val="SectionHeading"/>
      </w:pPr>
      <w:r>
        <w:t>5. Risks, Blind Spots &amp; Kill Criteria</w:t>
      </w:r>
    </w:p>
    <w:p>
      <w:pPr>
        <w:pStyle w:val="SubHeading"/>
      </w:pPr>
      <w:r>
        <w:t>Top risks:</w:t>
      </w:r>
    </w:p>
    <w:p>
      <w:pPr>
        <w:pStyle w:val="ListBullet"/>
      </w:pPr>
      <w:r>
        <w:t>Direct delivery will recover smoothly in H2 2026 — counter: Customer net additions remain negative despite month-to-month improvement, and integration rounds 6 and 7 still pending completion in H1 2026. Historical integration disruptions lasted longer than initially expected. [moderate]</w:t>
      </w:r>
    </w:p>
    <w:p>
      <w:pPr>
        <w:pStyle w:val="ListBullet2"/>
      </w:pPr>
      <w:r>
        <w:rPr>
          <w:i/>
        </w:rPr>
        <w:t>→ Research confirms: Q4 2025 earnings confirm customer net additions remained negative through year-end despite month-to-month improvement, with management expecting return to positive in Q2 2026. (fool.com)</w:t>
      </w:r>
    </w:p>
    <w:p>
      <w:pPr>
        <w:pStyle w:val="KillCriteria"/>
      </w:pPr>
      <w:r>
        <w:t>What would change our mind: Unable to close gap: Specific customer retention rates and win-back metrics for direct delivery business</w:t>
      </w:r>
    </w:p>
    <w:p>
      <w:pPr>
        <w:pStyle w:val="SectionHeading"/>
      </w:pPr>
      <w:r>
        <w:t>Appendix</w:t>
      </w:r>
    </w:p>
    <w:p>
      <w:pPr>
        <w:pStyle w:val="SubHeading"/>
      </w:pPr>
      <w:r>
        <w:t>Business context:</w:t>
      </w:r>
    </w:p>
    <w:p>
      <w:r>
        <w:t>Primo Brands is a leading North American branded beverage company focused on healthy hydration, operating a vertically integrated coast-to-coast network that distributes water brands to over 200,000 retail outlets. The company generates revenue through retail sales of bottled water brands (Poland Spring, Pure Life, Arrowhead, etc.), direct delivery services to homes and businesses, and water dispenser/exchange services.</w:t>
      </w:r>
    </w:p>
    <w:p>
      <w:pPr>
        <w:pStyle w:val="SubHeading"/>
      </w:pPr>
      <w:r>
        <w:t>Evidence gaps (research TODO):</w:t>
      </w:r>
    </w:p>
    <w:p>
      <w:pPr>
        <w:pStyle w:val="ListBullet"/>
      </w:pPr>
      <w:r>
        <w:t>Specific customer retention rates and win-back metrics for direct delivery business</w:t>
      </w:r>
    </w:p>
    <w:p>
      <w:pPr>
        <w:pStyle w:val="ListBullet"/>
      </w:pPr>
      <w:r>
        <w:t>Detailed capacity utilization targets for Mountain Valley and Saratoga expansions</w:t>
      </w:r>
    </w:p>
    <w:p>
      <w:pPr>
        <w:pStyle w:val="ListBullet"/>
      </w:pPr>
      <w:r>
        <w:t>Quarterly progression expectations within FY2026 guidance range</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before="0" w:after="40" w:line="276" w:lineRule="auto"/>
    </w:pPr>
    <w:rPr>
      <w:rFonts w:ascii="Calibri" w:hAnsi="Calibri"/>
      <w:b/>
      <w:i w:val="0"/>
      <w:color w:val="0F2A4E"/>
      <w:sz w:val="40"/>
    </w:rPr>
  </w:style>
  <w:style w:type="paragraph" w:customStyle="1" w:styleId="SectionHeading">
    <w:name w:val="SectionHeading"/>
    <w:pPr>
      <w:spacing w:before="280" w:after="80" w:line="276" w:lineRule="auto"/>
    </w:pPr>
    <w:rPr>
      <w:rFonts w:ascii="Calibri" w:hAnsi="Calibri"/>
      <w:b/>
      <w:i w:val="0"/>
      <w:color w:val="0F2A4E"/>
      <w:sz w:val="28"/>
    </w:rPr>
  </w:style>
  <w:style w:type="paragraph" w:customStyle="1" w:styleId="SubHeading">
    <w:name w:val="SubHeading"/>
    <w:pPr>
      <w:spacing w:before="120" w:after="40" w:line="276" w:lineRule="auto"/>
    </w:pPr>
    <w:rPr>
      <w:rFonts w:ascii="Calibri" w:hAnsi="Calibri"/>
      <w:b/>
      <w:i w:val="0"/>
      <w:color w:val="334B6B"/>
      <w:sz w:val="22"/>
    </w:rPr>
  </w:style>
  <w:style w:type="paragraph" w:customStyle="1" w:styleId="PullQuote">
    <w:name w:val="PullQuote"/>
    <w:pPr>
      <w:spacing w:before="80" w:after="120" w:line="276" w:lineRule="auto"/>
      <w:ind w:left="432"/>
    </w:pPr>
    <w:rPr>
      <w:rFonts w:ascii="Calibri" w:hAnsi="Calibri"/>
      <w:b w:val="0"/>
      <w:i/>
      <w:color w:val="555555"/>
      <w:sz w:val="21"/>
    </w:rPr>
  </w:style>
  <w:style w:type="paragraph" w:customStyle="1" w:styleId="KillCriteria">
    <w:name w:val="KillCriteria"/>
    <w:pPr>
      <w:spacing w:before="120" w:after="120" w:line="276" w:lineRule="auto"/>
    </w:pPr>
    <w:rPr>
      <w:rFonts w:ascii="Calibri" w:hAnsi="Calibri"/>
      <w:b/>
      <w:i w:val="0"/>
      <w:color w:val="8C1D40"/>
      <w:sz w:val="21"/>
    </w:rPr>
  </w:style>
  <w:style w:type="paragraph" w:customStyle="1" w:styleId="WarningBanner">
    <w:name w:val="WarningBanner"/>
    <w:pPr>
      <w:spacing w:before="80" w:after="80" w:line="276" w:lineRule="auto"/>
    </w:pPr>
    <w:rPr>
      <w:rFonts w:ascii="Calibri" w:hAnsi="Calibri"/>
      <w:b/>
      <w:i w:val="0"/>
      <w:color w:val="8C1D40"/>
      <w:sz w:val="22"/>
    </w:rPr>
  </w:style>
  <w:style w:type="paragraph" w:customStyle="1" w:styleId="ReportBullet">
    <w:name w:val="ReportBullet"/>
    <w:pPr>
      <w:spacing w:before="0" w:after="60" w:line="276" w:lineRule="auto"/>
    </w:pPr>
    <w:rPr>
      <w:rFonts w:ascii="Calibri" w:hAnsi="Calibri"/>
      <w:b w:val="0"/>
      <w:i w:val="0"/>
      <w:color w:val="1A1A1A"/>
      <w:sz w:val="21"/>
    </w:rPr>
  </w:style>
  <w:style w:type="paragraph" w:customStyle="1" w:styleId="ReportCaption">
    <w:name w:val="ReportCaption"/>
    <w:pPr>
      <w:spacing w:before="40" w:after="40" w:line="276" w:lineRule="auto"/>
    </w:pPr>
    <w:rPr>
      <w:rFonts w:ascii="Calibri" w:hAnsi="Calibri"/>
      <w:b w:val="0"/>
      <w:i/>
      <w:color w:val="555555"/>
      <w:sz w:val="18"/>
    </w:rPr>
  </w:style>
  <w:style w:type="paragraph" w:customStyle="1" w:styleId="SmallMeta">
    <w:name w:val="SmallMeta"/>
    <w:pPr>
      <w:spacing w:before="0" w:after="80" w:line="276" w:lineRule="auto"/>
    </w:pPr>
    <w:rPr>
      <w:rFonts w:ascii="Calibri" w:hAnsi="Calibri"/>
      <w:b w:val="0"/>
      <w:i w:val="0"/>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