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TMDX — TMDX</w:t>
      </w:r>
    </w:p>
    <w:p>
      <w:pPr>
        <w:pStyle w:val="SmallMeta"/>
      </w:pPr>
      <w:r>
        <w:t>As of 2026-05-05  |  Schema: general  |  Data: polygon+alpha_vantage (FY2025)</w:t>
      </w:r>
    </w:p>
    <w:p>
      <w:pPr>
        <w:pStyle w:val="SubHeading"/>
      </w:pPr>
      <w:r>
        <w:rPr>
          <w:color w:val="8C1D40"/>
        </w:rPr>
        <w:t>Direction: LONG | Current: $94.88</w:t>
      </w:r>
    </w:p>
    <w:p>
      <w:pPr>
        <w:pStyle w:val="SubHeading"/>
      </w:pPr>
      <w:r>
        <w:t>Summary</w:t>
      </w:r>
    </w:p>
    <w:p>
      <w:pPr>
        <w:pStyle w:val="ListBullet"/>
      </w:pPr>
      <w:r>
        <w:t>Thesis: Management's FY2026 operating margin guidance appears overly conservative, creating upside potential as international investments may be more gradual than the 250bp compression implies.</w:t>
      </w:r>
    </w:p>
    <w:p>
      <w:pPr>
        <w:pStyle w:val="ListBullet"/>
      </w:pPr>
      <w:r>
        <w:t>Next catalyst: Next quarterly earnings report (2026-05-05 (1 days))</w:t>
      </w:r>
    </w:p>
    <w:p>
      <w:pPr>
        <w:pStyle w:val="ListBullet"/>
      </w:pPr>
      <w:r>
        <w:t>Top risk: International expansion will drive significant near-term growth acceleration</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'med_devices'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2 components) on schema 'general'. The mechanical model and edge variant back-solve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EPS Bridge skipped due to error: UnicodeEncodeError: 'charmap' codec can't encode character '\u03a3' in position 43: character maps to &lt;undefined&gt;</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$8.33 is 239% above consensus $2.46 (after 1 bear/bull revision(s)). Claims this extreme require specific named catastrophic (or windfall) mechanisms — review the brief + adversarial output and confirm the thesis supports this magnitude, or treat the number as mis-calibrated.</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$0.61</w:t>
            </w:r>
          </w:p>
        </w:tc>
        <w:tc>
          <w:tcPr>
            <w:tcW w:type="dxa" w:w="1399"/>
            <w:tcBorders>
              <w:top w:val="single" w:sz="4" w:color="BDC3C7"/>
              <w:bottom w:val="single" w:sz="4" w:color="BDC3C7"/>
              <w:left w:val="single" w:sz="4" w:color="BDC3C7"/>
              <w:right w:val="single" w:sz="4" w:color="BDC3C7"/>
            </w:tcBorders>
          </w:tcPr>
          <w:p>
            <w:r>
              <w:t>$0.45 – $0.82</w:t>
            </w:r>
          </w:p>
        </w:tc>
        <w:tc>
          <w:tcPr>
            <w:tcW w:type="dxa" w:w="1399"/>
            <w:tcBorders>
              <w:top w:val="single" w:sz="4" w:color="BDC3C7"/>
              <w:bottom w:val="single" w:sz="4" w:color="BDC3C7"/>
              <w:left w:val="single" w:sz="4" w:color="BDC3C7"/>
              <w:right w:val="single" w:sz="4" w:color="BDC3C7"/>
            </w:tcBorders>
          </w:tcPr>
          <w:p>
            <w:r>
              <w:t>8</w:t>
            </w:r>
          </w:p>
        </w:tc>
        <w:tc>
          <w:tcPr>
            <w:tcW w:type="dxa" w:w="1399"/>
            <w:tcBorders>
              <w:top w:val="single" w:sz="4" w:color="BDC3C7"/>
              <w:bottom w:val="single" w:sz="4" w:color="BDC3C7"/>
              <w:left w:val="single" w:sz="4" w:color="BDC3C7"/>
              <w:right w:val="single" w:sz="4" w:color="BDC3C7"/>
            </w:tcBorders>
          </w:tcPr>
          <w:p>
            <w:r>
              <w:t>-12.7%</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↑2 / ↓3</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$0.75</w:t>
            </w:r>
          </w:p>
        </w:tc>
        <w:tc>
          <w:tcPr>
            <w:tcW w:type="dxa" w:w="1399"/>
            <w:tcBorders>
              <w:top w:val="single" w:sz="4" w:color="BDC3C7"/>
              <w:bottom w:val="single" w:sz="4" w:color="BDC3C7"/>
              <w:left w:val="single" w:sz="4" w:color="BDC3C7"/>
              <w:right w:val="single" w:sz="4" w:color="BDC3C7"/>
            </w:tcBorders>
          </w:tcPr>
          <w:p>
            <w:r>
              <w:t>$0.56 – $0.93</w:t>
            </w:r>
          </w:p>
        </w:tc>
        <w:tc>
          <w:tcPr>
            <w:tcW w:type="dxa" w:w="1399"/>
            <w:tcBorders>
              <w:top w:val="single" w:sz="4" w:color="BDC3C7"/>
              <w:bottom w:val="single" w:sz="4" w:color="BDC3C7"/>
              <w:left w:val="single" w:sz="4" w:color="BDC3C7"/>
              <w:right w:val="single" w:sz="4" w:color="BDC3C7"/>
            </w:tcBorders>
          </w:tcPr>
          <w:p>
            <w:r>
              <w:t>7</w:t>
            </w:r>
          </w:p>
        </w:tc>
        <w:tc>
          <w:tcPr>
            <w:tcW w:type="dxa" w:w="1399"/>
            <w:tcBorders>
              <w:top w:val="single" w:sz="4" w:color="BDC3C7"/>
              <w:bottom w:val="single" w:sz="4" w:color="BDC3C7"/>
              <w:left w:val="single" w:sz="4" w:color="BDC3C7"/>
              <w:right w:val="single" w:sz="4" w:color="BDC3C7"/>
            </w:tcBorders>
          </w:tcPr>
          <w:p>
            <w:r>
              <w:t>-18.9%</w:t>
            </w:r>
          </w:p>
        </w:tc>
        <w:tc>
          <w:tcPr>
            <w:tcW w:type="dxa" w:w="1399"/>
            <w:tcBorders>
              <w:top w:val="single" w:sz="4" w:color="BDC3C7"/>
              <w:bottom w:val="single" w:sz="4" w:color="BDC3C7"/>
              <w:left w:val="single" w:sz="4" w:color="BDC3C7"/>
              <w:right w:val="single" w:sz="4" w:color="BDC3C7"/>
            </w:tcBorders>
          </w:tcPr>
          <w:p>
            <w:r>
              <w:t>↑ +0.006</w:t>
            </w:r>
          </w:p>
        </w:tc>
        <w:tc>
          <w:tcPr>
            <w:tcW w:type="dxa" w:w="1399"/>
            <w:tcBorders>
              <w:top w:val="single" w:sz="4" w:color="BDC3C7"/>
              <w:bottom w:val="single" w:sz="4" w:color="BDC3C7"/>
              <w:left w:val="single" w:sz="4" w:color="BDC3C7"/>
              <w:right w:val="single" w:sz="4" w:color="BDC3C7"/>
            </w:tcBorders>
          </w:tcPr>
          <w:p>
            <w:r>
              <w:t>↑2 / ↓2</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$2.46</w:t>
            </w:r>
          </w:p>
        </w:tc>
        <w:tc>
          <w:tcPr>
            <w:tcW w:type="dxa" w:w="1399"/>
            <w:tcBorders>
              <w:top w:val="single" w:sz="4" w:color="BDC3C7"/>
              <w:bottom w:val="single" w:sz="4" w:color="BDC3C7"/>
              <w:left w:val="single" w:sz="4" w:color="BDC3C7"/>
              <w:right w:val="single" w:sz="4" w:color="BDC3C7"/>
            </w:tcBorders>
          </w:tcPr>
          <w:p>
            <w:r>
              <w:t>$2.08 – $2.87</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-6.4%</w:t>
            </w:r>
          </w:p>
        </w:tc>
        <w:tc>
          <w:tcPr>
            <w:tcW w:type="dxa" w:w="1399"/>
            <w:tcBorders>
              <w:top w:val="single" w:sz="4" w:color="BDC3C7"/>
              <w:bottom w:val="single" w:sz="4" w:color="BDC3C7"/>
              <w:left w:val="single" w:sz="4" w:color="BDC3C7"/>
              <w:right w:val="single" w:sz="4" w:color="BDC3C7"/>
            </w:tcBorders>
          </w:tcPr>
          <w:p>
            <w:r>
              <w:t>↓ -0.007</w:t>
            </w:r>
          </w:p>
        </w:tc>
        <w:tc>
          <w:tcPr>
            <w:tcW w:type="dxa" w:w="1399"/>
            <w:tcBorders>
              <w:top w:val="single" w:sz="4" w:color="BDC3C7"/>
              <w:bottom w:val="single" w:sz="4" w:color="BDC3C7"/>
              <w:left w:val="single" w:sz="4" w:color="BDC3C7"/>
              <w:right w:val="single" w:sz="4" w:color="BDC3C7"/>
            </w:tcBorders>
          </w:tcPr>
          <w:p>
            <w:r>
              <w:t>↑1 / ↓2</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$3.68</w:t>
            </w:r>
          </w:p>
        </w:tc>
        <w:tc>
          <w:tcPr>
            <w:tcW w:type="dxa" w:w="1399"/>
            <w:tcBorders>
              <w:top w:val="single" w:sz="4" w:color="BDC3C7"/>
              <w:bottom w:val="single" w:sz="4" w:color="BDC3C7"/>
              <w:left w:val="single" w:sz="4" w:color="BDC3C7"/>
              <w:right w:val="single" w:sz="4" w:color="BDC3C7"/>
            </w:tcBorders>
          </w:tcPr>
          <w:p>
            <w:r>
              <w:t>$3.01 – $4.19</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+49.9%</w:t>
            </w:r>
          </w:p>
        </w:tc>
        <w:tc>
          <w:tcPr>
            <w:tcW w:type="dxa" w:w="1399"/>
            <w:tcBorders>
              <w:top w:val="single" w:sz="4" w:color="BDC3C7"/>
              <w:bottom w:val="single" w:sz="4" w:color="BDC3C7"/>
              <w:left w:val="single" w:sz="4" w:color="BDC3C7"/>
              <w:right w:val="single" w:sz="4" w:color="BDC3C7"/>
            </w:tcBorders>
          </w:tcPr>
          <w:p>
            <w:r>
              <w:t>↓ -0.024</w:t>
            </w:r>
          </w:p>
        </w:tc>
        <w:tc>
          <w:tcPr>
            <w:tcW w:type="dxa" w:w="1399"/>
            <w:tcBorders>
              <w:top w:val="single" w:sz="4" w:color="BDC3C7"/>
              <w:bottom w:val="single" w:sz="4" w:color="BDC3C7"/>
              <w:left w:val="single" w:sz="4" w:color="BDC3C7"/>
              <w:right w:val="single" w:sz="4" w:color="BDC3C7"/>
            </w:tcBorders>
          </w:tcPr>
          <w:p>
            <w:r>
              <w:t>↑1 / ↓3</w:t>
            </w:r>
          </w:p>
        </w:tc>
      </w:tr>
    </w:tbl>
    <w:p>
      <w:r>
        <w:t>Revenue consensus: Q $0.17B (+21.3%)  |  Q+1 $0.19B (+20.2%)  |  FY $0.74B (+22.1%)  |  FY+1 $0.88B (+18.6%)</w:t>
      </w:r>
    </w:p>
    <w:p>
      <w:r>
        <w:t>Price targets: Mean $156.00  |  Median $156.00  |  Range $118.00–$190.00  |  Current $95.28 (+63.7% to mean)</w:t>
      </w:r>
    </w:p>
    <w:p>
      <w:r>
        <w:t>Analyst ratings (n=11): Strong Buy 2 · Buy 7 · Hold 2 · Sell 0 · Strong Sell 0  ·  82% bullish</w:t>
      </w:r>
    </w:p>
    <w:p>
      <w:r>
        <w:t>Next earnings: 2026-05-05 (0d out)  ·  EPS $0.61 ($0.45–$0.82)  ·  Rev $0.17B</w:t>
      </w:r>
    </w:p>
    <w:p>
      <w:pPr>
        <w:pStyle w:val="SectionHeading"/>
      </w:pPr>
      <w:r>
        <w:t>1. Research Synthesis</w:t>
      </w:r>
    </w:p>
    <w:p>
      <w:r>
        <w:t>TransMedics delivered strong Q4 2025 results with total revenue of $161M (+32% YoY, +12% sequential) and operating margins of 13.2%, capping off a year where the company achieved $605.5M in total revenue (+37% YoY) and 17.9% operating margins. The sequential trajectory analysis reveals healthy underlying momentum: Q4's +12% sequential growth compares favorably to typical seasonal patterns, though we lack sufficient prior-year quarterly data to establish the normal Q3-to-Q4 seasonal lift for definitive comparison.</w:t>
      </w:r>
    </w:p>
    <w:p>
      <w:pPr>
        <w:pStyle w:val="ListBullet"/>
      </w:pPr>
      <w:r>
        <w:rPr>
          <w:i/>
        </w:rPr>
        <w:t>→ Research [UPDATES]: Official SEC/IR sources confirm Q4 2025 revenue of $160.8M (not $161M), with 32% YoY growth confirmed. Sequential growth was 12% as stated. The $0.2M delta ($160.8M vs $161M) is immaterial but represents rounding in the brief. (prnewswire.com)</w:t>
      </w:r>
    </w:p>
    <w:p>
      <w:r>
        <w:t>The most significant development is management's FY2026 guidance framework, which projects revenue growth of 20-25% ($727-757M range) while warning of operating margin compression of 'up to approximately 250 basis points below 2025 full-year levels.' This margin guidance represents a notable shift from the confidence trajectory seen throughout 2025, where management consistently raised both revenue and operating margin guidance. In Q2 2025, CFO Hernandez guided 'at least 650 basis points of operating margin expansion,' which was raised to 'at least 750 basis points' in Q3, ultimately delivering 18% operating margins for the full year.</w:t>
      </w:r>
    </w:p>
    <w:p>
      <w:pPr>
        <w:pStyle w:val="ListBullet"/>
      </w:pPr>
      <w:r>
        <w:rPr>
          <w:i/>
        </w:rPr>
        <w:t>→ Research confirms: TransMedics issued FY2026 revenue guidance of $727M–$757M on February 24, 2026, representing 20–25% growth, directly matching the verbatim claim in the brief. (transmedics.com)</w:t>
      </w:r>
    </w:p>
    <w:p>
      <w:pPr>
        <w:pStyle w:val="ListBullet"/>
      </w:pPr>
      <w:r>
        <w:rPr>
          <w:i/>
        </w:rPr>
        <w:t>→ Research confirms: TransMedics' Q4 2025 earnings guidance directly confirms operating margin compression of approximately 250 basis points below 2025 levels for 2026, driven by R&amp;D and growth investments. (transmedics.com)</w:t>
      </w:r>
    </w:p>
    <w:p>
      <w:r>
        <w:t>The margin compression guidance appears conservative when examined against management's language evolution. In the Q3 2025 call, CFO Hernandez explicitly refused to provide specific investment amounts for European expansion, stating 'I'm not going to provide a specific dollar amount on the investment in Europe. We will provide a little bit more color next year in our next call.' This shifted dramatically in Q4, where he provided specific margin impact guidance of 'up to approximately 250 basis points below 2025 full-year levels.' This progression from withholding details to providing specific impact ranges typically indicates management has gained better visibility into investment timing and is positioning conservatively.</w:t>
      </w:r>
    </w:p>
    <w:p>
      <w:r>
        <w:t>The international expansion strategy centers on creating 'the first dedicated European transplant logistics network' with strategic investments in logistics infrastructure. Management emphasized that current European markets face significant organ logistics challenges, with CEO Hassaneen noting in Q3 that 'they are having significant challenges of even securing logistics to move organs even within Italy.' This represents a clear market opportunity, but the investment timing appears more flexible than the margin guidance implies. In Q3, CFO noted that 'some of those investments are in different stages. So depending on how they actually materialize, they could maybe slip into next year or not.'</w:t>
      </w:r>
    </w:p>
    <w:p>
      <w:pPr>
        <w:pStyle w:val="ListBullet"/>
      </w:pPr>
      <w:r>
        <w:rPr>
          <w:i/>
        </w:rPr>
        <w:t>→ Research: Search confirms competitive landscape exists with named competitors (OrganOx, XVIVO Perfusion, Paragonix Technologies) and market structure. TransMedics holds 1.38% market share as largest competitor in 2023; broader market includes 22+ competitors per PitchBook. Competitive analysis is available in market research. (marketsandmarkets.com)</w:t>
      </w:r>
    </w:p>
    <w:p>
      <w:r>
        <w:t>The clinical programs represent another key growth catalyst that management has consistently under-guided. Throughout 2025, management provided increasingly conservative language about clinical trial contributions. In Q2, they said they 'do not expect any substantial contribution,' evolving to Q4 where they stated they have 'enough organic growth that we're not even counting on any growth from the clinical trial in 25.' This pattern of conservative positioning on clinical programs, combined with the formal introduction of a five-pillar strategic framework (OCS Enhanced Heart Part A and B, OCS Enhanced Lung, OCS Kidney, international expansion, and continued innovation), suggests more disciplined execution than the street may be modeling.</w:t>
      </w:r>
    </w:p>
    <w:p>
      <w:r>
        <w:t>The Q4 2025 tax situation provides additional context for earnings quality. The company released a $103.3M U.S. tax valuation allowance, driving recognition of an $83.8M net income tax benefit and resulting in a -77% effective tax rate for 2025. Management explicitly framed this as 'not merely an accounting adjustment, but a strong indication of' business strength, with CFO noting they 'determined that it had become more likely than not that future income would result in use of deferred tax assets.' Normalizing for this one-time benefit, Q4 adjusted net income would have been $17.5M and EPS $0.47, compared to reported $105.4M and $2.62.</w:t>
      </w:r>
    </w:p>
    <w:p>
      <w:pPr>
        <w:pStyle w:val="ListBullet"/>
      </w:pPr>
      <w:r>
        <w:rPr>
          <w:i/>
        </w:rPr>
        <w:t>→ Research confirms: TransMedics released a $103.3M U.S. tax valuation allowance in Q4 2025, driving recognition of an $83.8M net income tax benefit, exactly as stated in the claim. (prnewswire.com)</w:t>
      </w:r>
    </w:p>
    <w:p>
      <w:r>
        <w:t>Revenue mix dynamics show continued strength in the core U.S. business, with liver revenue contributing $127M in Q4 (79% of U.S. transplant revenue), heart $26M, and lung $2M. The liver dominance reflects both market size and TransMedics' established position, while heart and lung represent expansion opportunities. International revenue of $4.8M (+24% YoY) remains early-stage with expected quarterly variability due to reimbursement dynamics.</w:t>
      </w:r>
    </w:p>
    <w:p>
      <w:pPr>
        <w:pStyle w:val="ListBullet"/>
      </w:pPr>
      <w:r>
        <w:rPr>
          <w:i/>
        </w:rPr>
        <w:t>→ Research confirms: Q4 2025 earnings call confirmed liver revenue of $127M, heart $26M, and lung $2M in U.S. transplant segment. Liver represented 79% of U.S. transplant revenue ($127M of $155M total). (themarketsdaily.com)</w:t>
      </w:r>
    </w:p>
    <w:p>
      <w:r>
        <w:t>Operating cash generation remained strong throughout 2025, with the company ending Q4 with $488M in cash, up $22M from Q3 despite continued investments. Management highlighted 'meaningful improvement in our billing cycle' and 'continued disciplined working capital management' as key efficiency drivers. This cash position provides significant flexibility for international expansion timing, potentially allowing management to optimize investment pacing rather than front-loading costs as the margin guidance might imply.</w:t>
      </w:r>
    </w:p>
    <w:p>
      <w:pPr>
        <w:pStyle w:val="ListBullet"/>
      </w:pPr>
      <w:r>
        <w:rPr>
          <w:i/>
        </w:rPr>
        <w:t>→ Research [UPDATES]: Company ended 2025 (full year) with $488.4M cash, up $22.2M Q/Q from Q3 2025 (not Q4 vs Q3 as brief states). The $488M figure is confirmed, but the sequential comparison is year-end 2025 vs. September 30, 2025 (Q3), not Q4 vs Q3 within the same year. (transmedics.com)</w:t>
      </w:r>
    </w:p>
    <w:p>
      <w:pPr>
        <w:pStyle w:val="ListBullet"/>
      </w:pPr>
      <w:r>
        <w:rPr>
          <w:i/>
        </w:rPr>
        <w:t>→ Research: Substantial institutional ownership data exists: 725 institutional owners hold ~97.1% of shares as of late 2025, with BlackRock, Fidelity, and Vanguard as top three holders. This directly addresses the missing angle—ownership structure analysis is available and material to the growth narrative. (dcfmodeling.com)</w:t>
      </w:r>
    </w:p>
    <w:p>
      <w:pPr>
        <w:pStyle w:val="ListBullet"/>
      </w:pPr>
      <w:r>
        <w:rPr>
          <w:i/>
        </w:rPr>
        <w:t>→ Research [CONTRADICTS]: CEO Waleed Hassanein purchased 16,875 shares in August 2025, but insiders have predominantly sold shares over the past 2 years (net -$72M), with recent March 2026 sales by CEO, CFO, and directors contradicting strong management confidence claims. (stocktitan.net)</w:t>
      </w:r>
    </w:p>
    <w:p>
      <w:r>
        <w:t>The guidance beat history supports a conservative interpretation of FY2026 targets. Management raised full-year 2025 revenue guidance twice during the year (from initial range to $585-605M in Q2, then narrowed to $595-605M in Q3) while consistently raising operating margin expectations. This pattern of conservative initial positioning followed by upward revisions suggests the FY2026 framework may similarly embed conservatism, particularly on the margin impact timing.</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$0.61</w:t>
            </w:r>
          </w:p>
        </w:tc>
        <w:tc>
          <w:tcPr>
            <w:tcW w:type="dxa" w:w="3264"/>
            <w:tcBorders>
              <w:top w:val="single" w:sz="4" w:color="BDC3C7"/>
              <w:bottom w:val="single" w:sz="4" w:color="BDC3C7"/>
              <w:left w:val="single" w:sz="4" w:color="BDC3C7"/>
              <w:right w:val="single" w:sz="4" w:color="BDC3C7"/>
            </w:tcBorders>
          </w:tcPr>
          <w:p>
            <w:r>
              <w:t>$174M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$0.75</w:t>
            </w:r>
          </w:p>
        </w:tc>
        <w:tc>
          <w:tcPr>
            <w:tcW w:type="dxa" w:w="3264"/>
            <w:tcBorders>
              <w:top w:val="single" w:sz="4" w:color="BDC3C7"/>
              <w:bottom w:val="single" w:sz="4" w:color="BDC3C7"/>
              <w:left w:val="single" w:sz="4" w:color="BDC3C7"/>
              <w:right w:val="single" w:sz="4" w:color="BDC3C7"/>
            </w:tcBorders>
          </w:tcPr>
          <w:p>
            <w:r>
              <w:t>$189M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$2.46</w:t>
            </w:r>
          </w:p>
        </w:tc>
        <w:tc>
          <w:tcPr>
            <w:tcW w:type="dxa" w:w="3264"/>
            <w:tcBorders>
              <w:top w:val="single" w:sz="4" w:color="BDC3C7"/>
              <w:bottom w:val="single" w:sz="4" w:color="BDC3C7"/>
              <w:left w:val="single" w:sz="4" w:color="BDC3C7"/>
              <w:right w:val="single" w:sz="4" w:color="BDC3C7"/>
            </w:tcBorders>
          </w:tcPr>
          <w:p>
            <w:r>
              <w:t>$739M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$3.68</w:t>
            </w:r>
          </w:p>
        </w:tc>
        <w:tc>
          <w:tcPr>
            <w:tcW w:type="dxa" w:w="3264"/>
            <w:tcBorders>
              <w:top w:val="single" w:sz="4" w:color="BDC3C7"/>
              <w:bottom w:val="single" w:sz="4" w:color="BDC3C7"/>
              <w:left w:val="single" w:sz="4" w:color="BDC3C7"/>
              <w:right w:val="single" w:sz="4" w:color="BDC3C7"/>
            </w:tcBorders>
          </w:tcPr>
          <w:p>
            <w:r>
              <w:t>$876M</w:t>
            </w:r>
          </w:p>
        </w:tc>
      </w:tr>
    </w:tbl>
    <w:p>
      <w:pPr>
        <w:pStyle w:val="SubHeading"/>
      </w:pPr>
      <w:r>
        <w:t>Management guidance:</w:t>
      </w:r>
    </w:p>
    <w:p>
      <w:pPr>
        <w:pStyle w:val="ListBullet"/>
      </w:pPr>
      <w:r>
        <w:t>Revenue (FY2026): $727 million to $757 million  — Q4 2025, call, CFO</w:t>
      </w:r>
    </w:p>
    <w:p>
      <w:pPr>
        <w:pStyle w:val="ListBullet"/>
      </w:pPr>
      <w:r>
        <w:t>Operating Margin (FY2026): up to approximately 250 basis points below 2025 full-year levels  — Q4 2025, call, CFO</w:t>
      </w:r>
    </w:p>
    <w:p>
      <w:pPr>
        <w:pStyle w:val="ListBullet"/>
      </w:pPr>
      <w:r>
        <w:t>Operating Margin (long-term): approach 30% by 2028  — Q4 2025, call, CFO</w:t>
      </w:r>
    </w:p>
    <w:p>
      <w:pPr>
        <w:pStyle w:val="PullQuote"/>
      </w:pPr>
      <w:r>
        <w:t>No structured edge claims survived validation (1 candidate(s) rejected — see Appendix).</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+18.78%</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organic_us_growth</w:t>
            </w:r>
          </w:p>
        </w:tc>
        <w:tc>
          <w:tcPr>
            <w:tcW w:type="dxa" w:w="2448"/>
            <w:tcBorders>
              <w:top w:val="single" w:sz="4" w:color="BDC3C7"/>
              <w:bottom w:val="single" w:sz="4" w:color="BDC3C7"/>
              <w:left w:val="single" w:sz="4" w:color="BDC3C7"/>
              <w:right w:val="single" w:sz="4" w:color="BDC3C7"/>
            </w:tcBorders>
          </w:tcPr>
          <w:p>
            <w:r>
              <w:t>+15.00%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In the Q4 2025 call, CFO Hernandez stated 'Growth is expected to be driven primarily by increased oil utilization, continued OCS adoption, and expansion of our service revenue.' U.S. transplant revenue grew 38.6% in 2025</w:t>
            </w:r>
          </w:p>
        </w:tc>
      </w:tr>
      <w:tr>
        <w:tc>
          <w:tcPr>
            <w:tcW w:type="dxa" w:w="2448"/>
            <w:tcBorders>
              <w:top w:val="single" w:sz="4" w:color="BDC3C7"/>
              <w:bottom w:val="single" w:sz="4" w:color="BDC3C7"/>
              <w:left w:val="single" w:sz="4" w:color="BDC3C7"/>
              <w:right w:val="single" w:sz="4" w:color="BDC3C7"/>
            </w:tcBorders>
          </w:tcPr>
          <w:p>
            <w:r>
              <w:t xml:space="preserve">    international_acceleration</w:t>
            </w:r>
          </w:p>
        </w:tc>
        <w:tc>
          <w:tcPr>
            <w:tcW w:type="dxa" w:w="2448"/>
            <w:tcBorders>
              <w:top w:val="single" w:sz="4" w:color="BDC3C7"/>
              <w:bottom w:val="single" w:sz="4" w:color="BDC3C7"/>
              <w:left w:val="single" w:sz="4" w:color="BDC3C7"/>
              <w:right w:val="single" w:sz="4" w:color="BDC3C7"/>
            </w:tcBorders>
          </w:tcPr>
          <w:p>
            <w:r>
              <w:t>3.78×</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International revenue was $16.7M in 2025 (+9.3% YoY) with management noting 'quarterly variability is expected due to reimbursement and market dynamics.' The European expansion with PAD Avia investment suggests accelerat</w:t>
            </w:r>
          </w:p>
        </w:tc>
      </w:tr>
    </w:tbl>
    <w:p>
      <w:pPr>
        <w:pStyle w:val="SubHeading"/>
      </w:pPr>
      <w:r>
        <w:t>Bear revisions:</w:t>
      </w:r>
    </w:p>
    <w:p>
      <w:pPr>
        <w:pStyle w:val="ListBullet"/>
      </w:pPr>
      <w:r>
        <w:t>revenue_growth.organic_us_growth: 17.02 → 15.0 — If organ transplant volumes face headwinds or clinical trial delays create competitive pressure, core U.S. growth could decelerate from the 38.6% achieved in 2025</w:t>
      </w:r>
    </w:p>
    <w:p>
      <w:pPr>
        <w:pStyle w:val="SubHeading"/>
      </w:pPr>
      <w:r>
        <w:t>Comp decomposition check:</w:t>
      </w:r>
    </w:p>
    <w:p>
      <w:pPr>
        <w:pStyle w:val="ListBullet"/>
      </w:pPr>
      <w:r>
        <w:t>Schema mismatch: peer comps fit 'med_devices' but the brief picked 'general'. The mechanical model will use generic defaults; final EPS may be unreliable.</w:t>
      </w:r>
    </w:p>
    <w:p>
      <w:pPr>
        <w:pStyle w:val="ListBullet"/>
      </w:pPr>
      <w:r>
        <w:t>Thin brief drivers (1 drivers / 2 components) on schema 'general'. The mechanical model and edge variant back-solve may be unreliable.</w:t>
      </w:r>
    </w:p>
    <w:p>
      <w:pPr>
        <w:pStyle w:val="SectionHeading"/>
      </w:pPr>
      <w:r>
        <w:t>3. Consensus Gap &amp; Valuation</w:t>
      </w:r>
    </w:p>
    <w:p>
      <w:r>
        <w:t>Our EPS: $2.46  =  baseline $2.46  +  Σ claim impacts $+0.00 (0.0% below consensus $2.46)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$2.46</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$2.46</w:t>
            </w:r>
          </w:p>
        </w:tc>
      </w:tr>
    </w:tbl>
    <w:p>
      <w:pPr>
        <w:pStyle w:val="PullQuote"/>
      </w:pPr>
      <w:r>
        <w:t xml:space="preserve">  ⚠ No edge claims; our EPS matches baseline (consensus).</w:t>
      </w:r>
    </w:p>
    <w:p>
      <w:r>
        <w:t>Our estimate is $5.87 (238.9%) above consensus $2.46. No single driver within plausible bounds can close the gap to consensus when other drivers are held at our values; the EPS variant is diffuse (top magnitude: revenue_growth.organic_us_growth). Variant appears NOT fully priced in based on available market data. Next catalyst: Next quarterly earnings report (2026-05-05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revenue_growth.organic_us_growth</w:t>
            </w:r>
          </w:p>
        </w:tc>
        <w:tc>
          <w:tcPr>
            <w:tcW w:type="dxa" w:w="1958"/>
            <w:tcBorders>
              <w:top w:val="single" w:sz="4" w:color="BDC3C7"/>
              <w:bottom w:val="single" w:sz="4" w:color="BDC3C7"/>
              <w:left w:val="single" w:sz="4" w:color="BDC3C7"/>
              <w:right w:val="single" w:sz="4" w:color="BDC3C7"/>
            </w:tcBorders>
          </w:tcPr>
          <w:p>
            <w:r>
              <w:t>+15.00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0.60</w:t>
            </w:r>
          </w:p>
        </w:tc>
      </w:tr>
      <w:tr>
        <w:tc>
          <w:tcPr>
            <w:tcW w:type="dxa" w:w="1958"/>
            <w:tcBorders>
              <w:top w:val="single" w:sz="4" w:color="BDC3C7"/>
              <w:bottom w:val="single" w:sz="4" w:color="BDC3C7"/>
              <w:left w:val="single" w:sz="4" w:color="BDC3C7"/>
              <w:right w:val="single" w:sz="4" w:color="BDC3C7"/>
            </w:tcBorders>
          </w:tcPr>
          <w:p>
            <w:r>
              <w:t>revenue_growth.international_acceleration</w:t>
            </w:r>
          </w:p>
        </w:tc>
        <w:tc>
          <w:tcPr>
            <w:tcW w:type="dxa" w:w="1958"/>
            <w:tcBorders>
              <w:top w:val="single" w:sz="4" w:color="BDC3C7"/>
              <w:bottom w:val="single" w:sz="4" w:color="BDC3C7"/>
              <w:left w:val="single" w:sz="4" w:color="BDC3C7"/>
              <w:right w:val="single" w:sz="4" w:color="BDC3C7"/>
            </w:tcBorders>
          </w:tcPr>
          <w:p>
            <w:r>
              <w:t>+3.78</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(+238.9%) exceeds implied move (7.5%). Short interest 34.4% supports</w:t>
      </w:r>
    </w:p>
    <w:p>
      <w:r>
        <w:t>Edge verdict: ACTIONABLE_EDGE (score 0.400).</w:t>
      </w:r>
    </w:p>
    <w:p>
      <w:pPr>
        <w:pStyle w:val="SectionHeading"/>
      </w:pPr>
      <w:r>
        <w:t>4. Catalysts</w:t>
      </w:r>
    </w:p>
    <w:p>
      <w:pPr>
        <w:pStyle w:val="ListBullet"/>
      </w:pPr>
      <w:r>
        <w:t>Next quarterly earnings report (2026-05-05 (1 days)) — resolves revenue + margins + guidance; confirms or challenges</w:t>
      </w:r>
    </w:p>
    <w:p>
      <w:pPr>
        <w:pStyle w:val="ListBullet"/>
      </w:pPr>
      <w:r>
        <w:t>Resolution: International expansion will drive significant near-term growth acceleration (Resolves at earnings (2026-05-05)) — resolves revenue_growth; confirms or challenges</w:t>
      </w:r>
    </w:p>
    <w:p>
      <w:pPr>
        <w:pStyle w:val="ListBullet"/>
      </w:pPr>
      <w:r>
        <w:t>Specific dollar amounts for European expansion investments (Unknown timing) — resolves multiple; resolves uncertainty</w:t>
      </w:r>
    </w:p>
    <w:p>
      <w:pPr>
        <w:pStyle w:val="ListBullet"/>
      </w:pPr>
      <w:r>
        <w:t>Quarterly breakdown of prior-year sequential patterns to assess Q4 performance vs seasonal norms (Unknown timing) — resolves multiple; resolves uncertainty</w:t>
      </w:r>
    </w:p>
    <w:p>
      <w:pPr>
        <w:pStyle w:val="SectionHeading"/>
      </w:pPr>
      <w:r>
        <w:t>5. Risks, Blind Spots &amp; Kill Criteria</w:t>
      </w:r>
    </w:p>
    <w:p>
      <w:pPr>
        <w:pStyle w:val="SubHeading"/>
      </w:pPr>
      <w:r>
        <w:t>Top risks:</w:t>
      </w:r>
    </w:p>
    <w:p>
      <w:pPr>
        <w:pStyle w:val="ListBullet"/>
      </w:pPr>
      <w:r>
        <w:t>International expansion will drive significant near-term growth acceleration — counter: Management noted international business 'remains at an early stage, and quarterly variability is expected due to reimbursement and market dynamics' with only $16.7M revenue in 2025 (3% of total) [moderate]</w:t>
      </w:r>
    </w:p>
    <w:p>
      <w:pPr>
        <w:pStyle w:val="KillCriteria"/>
      </w:pPr>
      <w:r>
        <w:t>What would change our mind: Unable to close gap: Specific dollar amounts for European expansion investments</w:t>
      </w:r>
    </w:p>
    <w:p>
      <w:pPr>
        <w:pStyle w:val="SectionHeading"/>
      </w:pPr>
      <w:r>
        <w:t>Appendix</w:t>
      </w:r>
    </w:p>
    <w:p>
      <w:pPr>
        <w:pStyle w:val="SubHeading"/>
      </w:pPr>
      <w:r>
        <w:t>Business context:</w:t>
      </w:r>
    </w:p>
    <w:p>
      <w:r>
        <w:t>TransMedics provides organ preservation technology and logistics services to expand the utilization of donor organs for transplantation. The company's OCS (Organ Care System) technology preserves organs outside the body during transport, while their NOP (National OPO Program) provides integrated logistics services to move organs between donation and transplant sites.</w:t>
      </w:r>
    </w:p>
    <w:p>
      <w:pPr>
        <w:pStyle w:val="SubHeading"/>
      </w:pPr>
      <w:r>
        <w:t>Evidence gaps (research TODO):</w:t>
      </w:r>
    </w:p>
    <w:p>
      <w:pPr>
        <w:pStyle w:val="ListBullet"/>
      </w:pPr>
      <w:r>
        <w:t>Specific dollar amounts for European expansion investments</w:t>
      </w:r>
    </w:p>
    <w:p>
      <w:pPr>
        <w:pStyle w:val="ListBullet"/>
      </w:pPr>
      <w:r>
        <w:t>Quarterly breakdown of prior-year sequential patterns to assess Q4 performance vs seasonal norms</w:t>
      </w:r>
    </w:p>
    <w:p>
      <w:pPr>
        <w:pStyle w:val="ListBullet"/>
      </w:pPr>
      <w:r>
        <w:t>Clinical trial enrollment rates and timeline specificity</w:t>
      </w:r>
    </w:p>
    <w:p>
      <w:pPr>
        <w:pStyle w:val="ListBullet"/>
      </w:pPr>
      <w:r>
        <w:t>Competitive positioning data in international markets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