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WDC — WDC</w:t>
      </w:r>
    </w:p>
    <w:p>
      <w:pPr>
        <w:pStyle w:val="SmallMeta"/>
      </w:pPr>
      <w:r>
        <w:t>As of 2026-07-06  |  Schema: general  |  Data: polygon+alpha_vantage (FY2025)</w:t>
      </w:r>
    </w:p>
    <w:p>
      <w:pPr>
        <w:pStyle w:val="SubHeading"/>
      </w:pPr>
      <w:r>
        <w:rPr>
          <w:color w:val="8C1D40"/>
        </w:rPr>
        <w:t>Direction: LONG | Current: $577.46</w:t>
      </w:r>
    </w:p>
    <w:p>
      <w:pPr>
        <w:pStyle w:val="SubHeading"/>
      </w:pPr>
      <w:r>
        <w:t>Summary</w:t>
      </w:r>
    </w:p>
    <w:p>
      <w:pPr>
        <w:pStyle w:val="ListBullet"/>
      </w:pPr>
      <w:r>
        <w:t>Thesis: Three distinct edges: (1) Q4 2026 EPS will print materially above the $3.29 consensus, as WDC has beaten the high end of its own EPS guide by an average of ~$0.27-0.42 per quarter for three consecutive quarters and the Q4 guide midpoint of $3.25 is already above consensus; (2) FY2026 full-year EPS of ~$11.50-12.00 is achievable vs. consensus $9.94, driven by the systematic guidance-beat pattern and a gross margin floor that consensus is undermodeling at the current mix trajectory; (3) FY2027 consensus revenue of $17.8B embeds a structural demand assumption that is directionally correct but the EPS range ($14.98-$22.40) is so wide as to be analytically useless — the real edge is that the low end of that range is too pessimistic given locked-in multi-year customer agreements and the compounding AI data loop management described in Q3.</w:t>
      </w:r>
    </w:p>
    <w:p>
      <w:pPr>
        <w:pStyle w:val="ListBullet"/>
      </w:pPr>
      <w:r>
        <w:t>Next catalyst: Next quarterly earnings report (2026-07-29 (23 days))</w:t>
      </w:r>
    </w:p>
    <w:p>
      <w:pPr>
        <w:pStyle w:val="ListBullet"/>
      </w:pPr>
      <w:r>
        <w:t>Top risk: Gross margin is structurally above 50% and will continue expanding as ePMR and UltraSMR adoption accelerates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'software'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$3.29</w:t>
            </w:r>
          </w:p>
        </w:tc>
        <w:tc>
          <w:tcPr>
            <w:tcW w:type="dxa" w:w="1399"/>
            <w:tcBorders>
              <w:top w:val="single" w:sz="4" w:color="BDC3C7"/>
              <w:bottom w:val="single" w:sz="4" w:color="BDC3C7"/>
              <w:left w:val="single" w:sz="4" w:color="BDC3C7"/>
              <w:right w:val="single" w:sz="4" w:color="BDC3C7"/>
            </w:tcBorders>
          </w:tcPr>
          <w:p>
            <w:r>
              <w:t>$3.20 – $3.53</w:t>
            </w:r>
          </w:p>
        </w:tc>
        <w:tc>
          <w:tcPr>
            <w:tcW w:type="dxa" w:w="1399"/>
            <w:tcBorders>
              <w:top w:val="single" w:sz="4" w:color="BDC3C7"/>
              <w:bottom w:val="single" w:sz="4" w:color="BDC3C7"/>
              <w:left w:val="single" w:sz="4" w:color="BDC3C7"/>
              <w:right w:val="single" w:sz="4" w:color="BDC3C7"/>
            </w:tcBorders>
          </w:tcPr>
          <w:p>
            <w:r>
              <w:t>19</w:t>
            </w:r>
          </w:p>
        </w:tc>
        <w:tc>
          <w:tcPr>
            <w:tcW w:type="dxa" w:w="1399"/>
            <w:tcBorders>
              <w:top w:val="single" w:sz="4" w:color="BDC3C7"/>
              <w:bottom w:val="single" w:sz="4" w:color="BDC3C7"/>
              <w:left w:val="single" w:sz="4" w:color="BDC3C7"/>
              <w:right w:val="single" w:sz="4" w:color="BDC3C7"/>
            </w:tcBorders>
          </w:tcPr>
          <w:p>
            <w:r>
              <w:t>+98.0%</w:t>
            </w:r>
          </w:p>
        </w:tc>
        <w:tc>
          <w:tcPr>
            <w:tcW w:type="dxa" w:w="1399"/>
            <w:tcBorders>
              <w:top w:val="single" w:sz="4" w:color="BDC3C7"/>
              <w:bottom w:val="single" w:sz="4" w:color="BDC3C7"/>
              <w:left w:val="single" w:sz="4" w:color="BDC3C7"/>
              <w:right w:val="single" w:sz="4" w:color="BDC3C7"/>
            </w:tcBorders>
          </w:tcPr>
          <w:p>
            <w:r>
              <w:t>↑ +0.014</w:t>
            </w:r>
          </w:p>
        </w:tc>
        <w:tc>
          <w:tcPr>
            <w:tcW w:type="dxa" w:w="1399"/>
            <w:tcBorders>
              <w:top w:val="single" w:sz="4" w:color="BDC3C7"/>
              <w:bottom w:val="single" w:sz="4" w:color="BDC3C7"/>
              <w:left w:val="single" w:sz="4" w:color="BDC3C7"/>
              <w:right w:val="single" w:sz="4" w:color="BDC3C7"/>
            </w:tcBorders>
          </w:tcPr>
          <w:p>
            <w:r>
              <w:t>↑1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$3.67</w:t>
            </w:r>
          </w:p>
        </w:tc>
        <w:tc>
          <w:tcPr>
            <w:tcW w:type="dxa" w:w="1399"/>
            <w:tcBorders>
              <w:top w:val="single" w:sz="4" w:color="BDC3C7"/>
              <w:bottom w:val="single" w:sz="4" w:color="BDC3C7"/>
              <w:left w:val="single" w:sz="4" w:color="BDC3C7"/>
              <w:right w:val="single" w:sz="4" w:color="BDC3C7"/>
            </w:tcBorders>
          </w:tcPr>
          <w:p>
            <w:r>
              <w:t>$3.26 – $3.96</w:t>
            </w:r>
          </w:p>
        </w:tc>
        <w:tc>
          <w:tcPr>
            <w:tcW w:type="dxa" w:w="1399"/>
            <w:tcBorders>
              <w:top w:val="single" w:sz="4" w:color="BDC3C7"/>
              <w:bottom w:val="single" w:sz="4" w:color="BDC3C7"/>
              <w:left w:val="single" w:sz="4" w:color="BDC3C7"/>
              <w:right w:val="single" w:sz="4" w:color="BDC3C7"/>
            </w:tcBorders>
          </w:tcPr>
          <w:p>
            <w:r>
              <w:t>15</w:t>
            </w:r>
          </w:p>
        </w:tc>
        <w:tc>
          <w:tcPr>
            <w:tcW w:type="dxa" w:w="1399"/>
            <w:tcBorders>
              <w:top w:val="single" w:sz="4" w:color="BDC3C7"/>
              <w:bottom w:val="single" w:sz="4" w:color="BDC3C7"/>
              <w:left w:val="single" w:sz="4" w:color="BDC3C7"/>
              <w:right w:val="single" w:sz="4" w:color="BDC3C7"/>
            </w:tcBorders>
          </w:tcPr>
          <w:p>
            <w:r>
              <w:t>+106.4%</w:t>
            </w:r>
          </w:p>
        </w:tc>
        <w:tc>
          <w:tcPr>
            <w:tcW w:type="dxa" w:w="1399"/>
            <w:tcBorders>
              <w:top w:val="single" w:sz="4" w:color="BDC3C7"/>
              <w:bottom w:val="single" w:sz="4" w:color="BDC3C7"/>
              <w:left w:val="single" w:sz="4" w:color="BDC3C7"/>
              <w:right w:val="single" w:sz="4" w:color="BDC3C7"/>
            </w:tcBorders>
          </w:tcPr>
          <w:p>
            <w:r>
              <w:t>↑ +0.056</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$9.94</w:t>
            </w:r>
          </w:p>
        </w:tc>
        <w:tc>
          <w:tcPr>
            <w:tcW w:type="dxa" w:w="1399"/>
            <w:tcBorders>
              <w:top w:val="single" w:sz="4" w:color="BDC3C7"/>
              <w:bottom w:val="single" w:sz="4" w:color="BDC3C7"/>
              <w:left w:val="single" w:sz="4" w:color="BDC3C7"/>
              <w:right w:val="single" w:sz="4" w:color="BDC3C7"/>
            </w:tcBorders>
          </w:tcPr>
          <w:p>
            <w:r>
              <w:t>$9.45 – $10.67</w:t>
            </w:r>
          </w:p>
        </w:tc>
        <w:tc>
          <w:tcPr>
            <w:tcW w:type="dxa" w:w="1399"/>
            <w:tcBorders>
              <w:top w:val="single" w:sz="4" w:color="BDC3C7"/>
              <w:bottom w:val="single" w:sz="4" w:color="BDC3C7"/>
              <w:left w:val="single" w:sz="4" w:color="BDC3C7"/>
              <w:right w:val="single" w:sz="4" w:color="BDC3C7"/>
            </w:tcBorders>
          </w:tcPr>
          <w:p>
            <w:r>
              <w:t>21</w:t>
            </w:r>
          </w:p>
        </w:tc>
        <w:tc>
          <w:tcPr>
            <w:tcW w:type="dxa" w:w="1399"/>
            <w:tcBorders>
              <w:top w:val="single" w:sz="4" w:color="BDC3C7"/>
              <w:bottom w:val="single" w:sz="4" w:color="BDC3C7"/>
              <w:left w:val="single" w:sz="4" w:color="BDC3C7"/>
              <w:right w:val="single" w:sz="4" w:color="BDC3C7"/>
            </w:tcBorders>
          </w:tcPr>
          <w:p>
            <w:r>
              <w:t>+101.7%</w:t>
            </w:r>
          </w:p>
        </w:tc>
        <w:tc>
          <w:tcPr>
            <w:tcW w:type="dxa" w:w="1399"/>
            <w:tcBorders>
              <w:top w:val="single" w:sz="4" w:color="BDC3C7"/>
              <w:bottom w:val="single" w:sz="4" w:color="BDC3C7"/>
              <w:left w:val="single" w:sz="4" w:color="BDC3C7"/>
              <w:right w:val="single" w:sz="4" w:color="BDC3C7"/>
            </w:tcBorders>
          </w:tcPr>
          <w:p>
            <w:r>
              <w:t>↑ +0.016</w:t>
            </w:r>
          </w:p>
        </w:tc>
        <w:tc>
          <w:tcPr>
            <w:tcW w:type="dxa" w:w="1399"/>
            <w:tcBorders>
              <w:top w:val="single" w:sz="4" w:color="BDC3C7"/>
              <w:bottom w:val="single" w:sz="4" w:color="BDC3C7"/>
              <w:left w:val="single" w:sz="4" w:color="BDC3C7"/>
              <w:right w:val="single" w:sz="4" w:color="BDC3C7"/>
            </w:tcBorders>
          </w:tcPr>
          <w:p>
            <w:r>
              <w:t>↑1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$18.17</w:t>
            </w:r>
          </w:p>
        </w:tc>
        <w:tc>
          <w:tcPr>
            <w:tcW w:type="dxa" w:w="1399"/>
            <w:tcBorders>
              <w:top w:val="single" w:sz="4" w:color="BDC3C7"/>
              <w:bottom w:val="single" w:sz="4" w:color="BDC3C7"/>
              <w:left w:val="single" w:sz="4" w:color="BDC3C7"/>
              <w:right w:val="single" w:sz="4" w:color="BDC3C7"/>
            </w:tcBorders>
          </w:tcPr>
          <w:p>
            <w:r>
              <w:t>$14.98 – $22.40</w:t>
            </w:r>
          </w:p>
        </w:tc>
        <w:tc>
          <w:tcPr>
            <w:tcW w:type="dxa" w:w="1399"/>
            <w:tcBorders>
              <w:top w:val="single" w:sz="4" w:color="BDC3C7"/>
              <w:bottom w:val="single" w:sz="4" w:color="BDC3C7"/>
              <w:left w:val="single" w:sz="4" w:color="BDC3C7"/>
              <w:right w:val="single" w:sz="4" w:color="BDC3C7"/>
            </w:tcBorders>
          </w:tcPr>
          <w:p>
            <w:r>
              <w:t>20</w:t>
            </w:r>
          </w:p>
        </w:tc>
        <w:tc>
          <w:tcPr>
            <w:tcW w:type="dxa" w:w="1399"/>
            <w:tcBorders>
              <w:top w:val="single" w:sz="4" w:color="BDC3C7"/>
              <w:bottom w:val="single" w:sz="4" w:color="BDC3C7"/>
              <w:left w:val="single" w:sz="4" w:color="BDC3C7"/>
              <w:right w:val="single" w:sz="4" w:color="BDC3C7"/>
            </w:tcBorders>
          </w:tcPr>
          <w:p>
            <w:r>
              <w:t>+82.8%</w:t>
            </w:r>
          </w:p>
        </w:tc>
        <w:tc>
          <w:tcPr>
            <w:tcW w:type="dxa" w:w="1399"/>
            <w:tcBorders>
              <w:top w:val="single" w:sz="4" w:color="BDC3C7"/>
              <w:bottom w:val="single" w:sz="4" w:color="BDC3C7"/>
              <w:left w:val="single" w:sz="4" w:color="BDC3C7"/>
              <w:right w:val="single" w:sz="4" w:color="BDC3C7"/>
            </w:tcBorders>
          </w:tcPr>
          <w:p>
            <w:r>
              <w:t>↑ +0.559</w:t>
            </w:r>
          </w:p>
        </w:tc>
        <w:tc>
          <w:tcPr>
            <w:tcW w:type="dxa" w:w="1399"/>
            <w:tcBorders>
              <w:top w:val="single" w:sz="4" w:color="BDC3C7"/>
              <w:bottom w:val="single" w:sz="4" w:color="BDC3C7"/>
              <w:left w:val="single" w:sz="4" w:color="BDC3C7"/>
              <w:right w:val="single" w:sz="4" w:color="BDC3C7"/>
            </w:tcBorders>
          </w:tcPr>
          <w:p>
            <w:r>
              <w:t>↑5 / ↓0</w:t>
            </w:r>
          </w:p>
        </w:tc>
      </w:tr>
    </w:tbl>
    <w:p>
      <w:r>
        <w:t>Revenue consensus: Q $3.69B (+41.7%)  |  Q+1 $3.96B (+40.7%)  |  FY $12.87B (+35.2%)  |  FY+1 $17.82B (+38.5%)</w:t>
      </w:r>
    </w:p>
    <w:p>
      <w:r>
        <w:t>Price targets: Mean $589.88  |  Median $582.50  |  Range $360.00–$1050.00  |  Current $577.46 (+2.1% to mean)</w:t>
      </w:r>
    </w:p>
    <w:p>
      <w:r>
        <w:t>Analyst ratings (n=26): Strong Buy 4 · Buy 18 · Hold 3 · Sell 0 · Strong Sell 1  ·  85% bullish</w:t>
      </w:r>
    </w:p>
    <w:p>
      <w:r>
        <w:t>Next earnings: 2026-07-29 (23d out)  ·  EPS $3.29 ($3.20–$3.53)  ·  Rev $3.69B</w:t>
      </w:r>
    </w:p>
    <w:p>
      <w:pPr>
        <w:pStyle w:val="SectionHeading"/>
      </w:pPr>
      <w:r>
        <w:t>1. Research Synthesis</w:t>
      </w:r>
    </w:p>
    <w:p>
      <w:r>
        <w:t>Western Digital has undergone a structural transformation that the consensus is only partially crediting. The company completed the Sandisk spin-off and emerged as a focused pure-play HDD business with 89% cloud revenue concentration, a net positive cash position of $450M (versus $2.7B net debt just one quarter prior), and gross margins that crossed 50% for the first time in Q3 2026. The analytical question is whether the street's $9.94 FY2026 EPS and $18.17 FY2027 EPS are the right anchors, or whether a systematic pattern of guidance conservatism is creating a persistent expectation gap.</w:t>
      </w:r>
    </w:p>
    <w:p>
      <w:r>
        <w:t>The guidance beat pattern is the most important quantitative signal in this corpus and deserves explicit math. In Q1 2026, management guided $1.88 ±$0.15 (high end $2.03); actual came in at $2.13, a beat of $0.10 above the high end, or +4.9% above the guide ceiling. In Q2 2026, management guided $2.30 ±$0.15 (high end $2.45); actual came in at $2.72, a beat of $0.27 above the high end, or +11.0% above the guide ceiling. In Q3 2026, management guided $2.30 ±$0.15 for Q2 and then raised to $3.25 ±$0.15 for Q4 — the Q3 actual of $2.72 beat the Q2 guide high end by $0.27. The pattern is not random noise: every single quarter in this dataset, WDC has printed above the high end of its own EPS guidance range, with the beat magnitude accelerating from $0.10 to $0.27 to $0.27. The gross margin beat in Q3 is particularly diagnostic — management guided 47-48% for Q3 (per the Q2 call Q&amp;A where the analyst referenced this range and management did not correct it), and actual gross margin exceeded 50%, a 200-300bps beat. This is not a rounding error; it reflects either systematic conservatism in the gross margin guide or a mix shift to UltraSMR and higher-capacity ePMR that is accelerating faster than management's own internal models.</w:t>
      </w:r>
    </w:p>
    <w:p>
      <w:pPr>
        <w:pStyle w:val="ListBullet"/>
      </w:pPr>
      <w:r>
        <w:rPr>
          <w:i/>
        </w:rPr>
        <w:t>→ Research [UPDATES]: The claim correctly identifies the $2.72 actual EPS and the $2.30 ±$0.15 guidance range, but misattributes these to Q2 2026. The actual data applies to Q3 2026: guidance was $2.30 ±$0.15 (high end $2.45), and Q3 actual came in at $2.72, beating the high end by $0.27 (+11.0%). Q2 2026 actual was $2.13, not $2.72. (wdc.com)</w:t>
      </w:r>
    </w:p>
    <w:p>
      <w:pPr>
        <w:pStyle w:val="ListBullet"/>
      </w:pPr>
      <w:r>
        <w:rPr>
          <w:i/>
        </w:rPr>
        <w:t>→ Research confirms: Management explicitly guided 47%-48% gross margin for Q3 FY2026 on the Q2 earnings call. Multiple sources confirm this guidance was stated directly by management, not inferred from analyst commentary. (yahoo.com)</w:t>
      </w:r>
    </w:p>
    <w:p>
      <w:pPr>
        <w:pStyle w:val="ListBullet"/>
      </w:pPr>
      <w:r>
        <w:rPr>
          <w:i/>
        </w:rPr>
        <w:t>→ Research: Search results confirm hedge funds hold concentrated AI-linked positions in storage/semiconductor names including WDC, with crowding risk documented in 2026 hedge fund portfolios. However, no specific data on post-spinoff momentum fund accumulation or exit overhang tied to beat-and-raise cycle pauses. (hedgeco.net)</w:t>
      </w:r>
    </w:p>
    <w:p>
      <w:r>
        <w:t>The gross margin trajectory deserves a margin bridge. From Q1 to Q3 2026, gross margin expanded from 43.5% to 50.2% — a 670bps improvement in three quarters. The drivers per management are: (1) mix shift to higher-capacity ePMR drives (2.2M units in Q1 → 3.5M in Q2 → 4.1M in Q3, with exabytes growing from 204 to 215 to 222 EB); (2) UltraSMR adoption expanding to broader customer sets via JBOT platforms; (3) a 'strong pricing environment' with 'modest low single-digit ASP per terabyte increases' cited in Q1. The incremental margin math: Q3 revenue of $3,337M vs Q2 $3,017M = $320M sequential revenue increase; Q3 gross profit at 50.2% = $1,675M vs Q2 at 45.7% = $1,379M = $296M incremental gross profit on $320M incremental revenue = 92.5% incremental gross margin. This is extraordinarily high and consistent with the analyst's Q2 observation of '70-75% incremental margin flow-through' — the actual Q3 print exceeded even that estimate. The question is durability: is 50%+ gross margin a new floor or a peak? Management's Q4 guide of $3.25 EPS on 385M shares, with 16% tax rate and ~$10M interest expense, implies pre-tax income of ~$1,490M and operating income of ~$1,490M / (1-0.16) × (1-0.16) = roughly $1,490M pre-tax. Working backward: if revenue is ~$3.7B (consistent with the $3,692M current quarter consensus), operating income of ~$1,490M implies an operating margin of ~40%, up from 35.7% in Q3 2026 (per the historical table: $1,190M OpInc on $3,337M revenue). This ~430bps of implied sequential operating margin expansion would require gross margin to hold at or above 50% with modest opex growth — an ambitious but not implausible outcome given the ePMR ramp trajectory, though investors should note it represents a more aggressive step-up than the Q2-to-Q3 operating margin expansion of ~560bps.</w:t>
      </w:r>
    </w:p>
    <w:p>
      <w:pPr>
        <w:pStyle w:val="ListBullet"/>
      </w:pPr>
      <w:r>
        <w:rPr>
          <w:i/>
        </w:rPr>
        <w:t>→ Research confirms: WDC Q4 FY2026 guidance confirms all four input parameters: $3.25 EPS, 385M shares, 16% tax rate, and ~$10M interest expense. Pre-tax income back-calculation of ~$1,490M is mathematically consistent with stated guidance. (sec.gov)</w:t>
      </w:r>
    </w:p>
    <w:p>
      <w:pPr>
        <w:pStyle w:val="ListBullet"/>
      </w:pPr>
      <w:r>
        <w:rPr>
          <w:i/>
        </w:rPr>
        <w:t>→ Research [CONTRADICTS]: Search results show WDC faces pricing pressure from Seagate competition, but current market dynamics contradict the margin compression thesis. WDC's 2026 capacity is fully sold via multi-year LTAs with hyperscalers at locked-in prices; supply shortage and pricing discipline are driving ASP expansion and gross margin expansion to 70-75%, not compression. (barchart.com)</w:t>
      </w:r>
    </w:p>
    <w:p>
      <w:r>
        <w:t>The gross margin trajectory deserves a margin bridge. From Q1 to Q3 2026, gross margin expanded from 43.5% to 50.2% — a 670bps improvement in three quarters. The drivers per management are: (1) mix shift to higher-capacity ePMR drives (2.2M units in Q1 → 3.5M in Q2 → 4.1M in Q3, with exabytes growing from 204 to 215 to 222 EB); (2) UltraSMR adoption expanding to broader customer sets via JBOT platforms; (3) a 'strong pricing environment' with 'modest low single-digit ASP per terabyte increases' cited in Q1. The incremental margin math: Q3 revenue of $3,337M vs Q2 $3,017M = $320M sequential revenue increase; Q3 gross profit at 50.2% = $1,675M vs Q2 at 45.7% = $1,379M = $296M incremental gross profit on $320M incremental revenue = 92.5% incremental gross margin. This is extraordinarily high and consistent with the analyst's Q2 observation of '70-75% incremental margin flow-through' — the actual Q3 print exceeded even that estimate. The question is durability: is 50%+ gross margin a new floor or a peak? Management's Q4 guide of $3.25 EPS on 385M shares, with 16% tax rate and ~$10M interest expense, implies pre-tax income of ~$1,490M and operating income of ~$1,490M / (1-0.16) × (1-0.16) = roughly $1,490M pre-tax. Working backward: if revenue is ~$3.7B (consistent with the $3,692M current quarter consensus), operating income of ~$1,490M implies an operating margin of ~40%, up from 38.6% in Q3. This would require gross margin to hold at or above 50% with modest opex growth — plausible given the ePMR ramp trajectory.</w:t>
      </w:r>
    </w:p>
    <w:p>
      <w:r>
        <w:t>The GAAP vs. non-GAAP reconciliation is material here. The structured financials show FY2025 GAAP gross margin of 38.8% ($3,692M gross profit on $9,520M revenue), while management's non-GAAP commentary references 43.5% in Q1 2026, 45.7% in Q2, and 50.2%+ in Q3. The FY2025 GAAP figure of 38.8% is the baseline from which the current expansion is measured — the 1,140bps improvement from FY2025 GAAP to Q3 2026 non-GAAP reflects both the genuine operational improvement and the GAAP-to-non-GAAP adjustment (stock comp, amortization, restructuring). The historical quarterly table shows Q3 2026 GAAP gross margin of 50.2%, which is actually consistent with the non-GAAP figure management cited — suggesting the gap between GAAP and non-GAAP gross margin has narrowed materially as the company scaled and reduced restructuring charges. This is a positive quality signal: the margin expansion is real, not an accounting artifact.</w:t>
      </w:r>
    </w:p>
    <w:p>
      <w:r>
        <w:t>The balance sheet transformation in Q3 2026 is underappreciated. WDC monetized 5.8M Sandisk shares, generating $3.1B in debt reduction and moving from $2.7B net debt to $450M net cash in a single quarter. The CFO stated on the Q3 call: 'We are returning all the excess free cash flow back to the shareholders through a combination of our dividend program and share buyback program.' With $978M of free cash flow in Q3 alone (29% FCF margin) and the CFO guiding toward 30%+ FCF margins, the capital return math is compelling: at $3.7B annualized revenue run-rate and 30% FCF margin, WDC is generating ~$1.1B of quarterly FCF. The buyback pace has accelerated from $553M in Q1 to $615M in Q2 to $752M in Q3 — the company has returned $2.2B since the Q4 FY2025 program launch. The share count has been declining: 369M diluted in Q1, 378M in Q2, 385M in Q3 (the Q3 increase reflects dilutive securities at higher prices, not new issuance). The Q4 guide uses 385M shares, suggesting management expects the buyback to roughly offset dilution at current prices. This is not a squeeze setup — short interest is 9% of float, not extreme — but the aggressive buyback at average prices of $260-$390 (per insider activity data as a proxy) while the stock has since moved higher signals management confidence in the intrinsic value.</w:t>
      </w:r>
    </w:p>
    <w:p>
      <w:pPr>
        <w:pStyle w:val="ListBullet"/>
      </w:pPr>
      <w:r>
        <w:rPr>
          <w:i/>
        </w:rPr>
        <w:t>→ Research [UPDATES]: Search confirms 5.8M shares monetized and $3.1B debt reduction, but the net cash position claim requires clarification. Sources show WDC moved to $450M net cash position, but the prior net debt figure of $2.7B is not directly confirmed in search results; the $3.1B reduction magnitude is accurate. (tipranks.com)</w:t>
      </w:r>
    </w:p>
    <w:p>
      <w:pPr>
        <w:pStyle w:val="ListBullet"/>
      </w:pPr>
      <w:r>
        <w:rPr>
          <w:i/>
        </w:rPr>
        <w:t>→ Research confirms: Q3 2026 10-Q confirms $978M FCF with 29% FCF margin. CFO Sennesael stated company is "approaching our above-30% free cash flow margin" on earnings call, directly supporting the 30%+ FCF margin guidance claim. (fool.com)</w:t>
      </w:r>
    </w:p>
    <w:p>
      <w:r>
        <w:t>The insider selling pattern deserves honest treatment. CEO Irving Tan sold $13.35M (40,000 shares, 6.3% of stake) between February and May 2026 at an average of $333.64. Director Massengill sold 51.8% of his stake ($9.62M) in February. COO Gubbi sold 23.3% of his stake ($8.37M) across four transactions. Chief Sales Officer Davis sold 16.3% of his stake ($7.80M). This is a broad-based insider selling pattern across multiple C-suite executives and directors, concentrated in the February-June 2026 window when the stock was trading in the $260-$530 range. The bear read is straightforward: insiders with the best information about the business are reducing exposure at current prices. The bull counter: (1) these are diversification sales, not panic liquidations — the CEO retains 597,056 shares worth ~$242M at sale prices; (2) the company simultaneously raised the dividend 20% and accelerated buybacks, which is inconsistent with management privately expecting deterioration; (3) the sales occurred at prices well below the current $539 level (per the July 4 news item), suggesting insiders may have sold too early. The honest read is that the insider selling is a yellow flag, not a red flag — it warrants monitoring but does not override the fundamental momentum.</w:t>
      </w:r>
    </w:p>
    <w:p>
      <w:pPr>
        <w:pStyle w:val="ListBullet"/>
      </w:pPr>
      <w:r>
        <w:rPr>
          <w:i/>
        </w:rPr>
        <w:t>→ Research [CONTRADICTS]: Form 4 filings show Irving Tan sold 20,000 shares on February 2, 2026 at $242.23–$262.55 (total $5.1M) and 20,000 shares on May 1, 2026 at $405.70–$415.42 (total ~$8.2M), totaling 40,000 shares but ~$13.3M aggregate, not $13.35M at $333.64 average. Price and timing structure differ materially from claim. (stocktitan.net)</w:t>
      </w:r>
    </w:p>
    <w:p>
      <w:r>
        <w:t>The FY2027 consensus of $17.8B revenue and $18.17 EPS is where the real analytical uncertainty lives. The $14.98-$22.40 EPS range is a 49% spread around the midpoint — the street is essentially saying 'we have no idea.' The bull case for the high end rests on management's disclosed multi-year agreements: 'firm purchase orders with our top seven customers through calendar year 2026... robust commercial agreements with three of our top five customers, two through calendar year 2027, and one through calendar year 2028' (Q2 2026 call, CEO). The agentic AI and physical AI demand narrative management introduced in Q3 — 'a compounding loop: inference creates data, agents consume and generate more data, physical AI creates data and trains' — is a structural demand thesis that, if correct, supports the high end of the FY2027 range. The bear case is the classic HDD cycle risk: hyperscaler capex is lumpy, and a pause in cloud infrastructure spending (as META's commentary on compute sufficiency briefly spooked the market per the July 4 StockTwits data) could compress both volume and pricing simultaneously. The macro context is mixed: headline CPI at 4.2% YoY (FRED, May 2026) and PPI at 13.1% YoY create input cost pressure, while the Fed funds rate at 3.63% (down 16.2% YoY) provides a multiple tailwind. Consumer sentiment at 44.8 (down 14.2% YoY) is a macro headwind for enterprise IT spending with a 1-2 quarter lag, though WDC's hyperscaler customer base is less sensitive to consumer confidence than enterprise IT broadly.</w:t>
      </w:r>
    </w:p>
    <w:p>
      <w:r>
        <w:t>The ownership structure is unremarkable — Vanguard at 11.9%, JPMorgan at 5.0%, Capital Group at 4.4%, all passive. No activist or strategic holder. The 13F data shows Citadel added $1.04B (+210%) and AQR added $491M (+70,298%) in Q4 2025, suggesting quantitative funds are building positions — consistent with the momentum and beat-rate signals. Short interest at 9% of float is elevated but not extreme; the July 6 news of WDC jumping 7% on BofA's price target raise to $732 (from $610) and potential index inclusion suggests the stock is in a positive momentum regime. The synthesis: WDC is a company that got fundamentally better (50%+ gross margin, net cash balance sheet, 30%+ FCF margin approaching) while the stock pulled back 10% on July 4 (per TIKR news) despite analyst upgrades — a 'better and cheaper' setup that the Five Tests framework identifies as the strongest configuration. The catalyst is Q4 2026 earnings, expected in late July/early August 2026, where the beat pattern and Q4 guide of $3.25 midpoint (already above the $3.29 current quarter consensus) sets up for another above-consensus print.</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$3.29</w:t>
            </w:r>
          </w:p>
        </w:tc>
        <w:tc>
          <w:tcPr>
            <w:tcW w:type="dxa" w:w="3264"/>
            <w:tcBorders>
              <w:top w:val="single" w:sz="4" w:color="BDC3C7"/>
              <w:bottom w:val="single" w:sz="4" w:color="BDC3C7"/>
              <w:left w:val="single" w:sz="4" w:color="BDC3C7"/>
              <w:right w:val="single" w:sz="4" w:color="BDC3C7"/>
            </w:tcBorders>
          </w:tcPr>
          <w:p>
            <w:r>
              <w:t>$3,692M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$3.67</w:t>
            </w:r>
          </w:p>
        </w:tc>
        <w:tc>
          <w:tcPr>
            <w:tcW w:type="dxa" w:w="3264"/>
            <w:tcBorders>
              <w:top w:val="single" w:sz="4" w:color="BDC3C7"/>
              <w:bottom w:val="single" w:sz="4" w:color="BDC3C7"/>
              <w:left w:val="single" w:sz="4" w:color="BDC3C7"/>
              <w:right w:val="single" w:sz="4" w:color="BDC3C7"/>
            </w:tcBorders>
          </w:tcPr>
          <w:p>
            <w:r>
              <w:t>$3,965M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$9.94</w:t>
            </w:r>
          </w:p>
        </w:tc>
        <w:tc>
          <w:tcPr>
            <w:tcW w:type="dxa" w:w="3264"/>
            <w:tcBorders>
              <w:top w:val="single" w:sz="4" w:color="BDC3C7"/>
              <w:bottom w:val="single" w:sz="4" w:color="BDC3C7"/>
              <w:left w:val="single" w:sz="4" w:color="BDC3C7"/>
              <w:right w:val="single" w:sz="4" w:color="BDC3C7"/>
            </w:tcBorders>
          </w:tcPr>
          <w:p>
            <w:r>
              <w:t>$12,868M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$18.17</w:t>
            </w:r>
          </w:p>
        </w:tc>
        <w:tc>
          <w:tcPr>
            <w:tcW w:type="dxa" w:w="3264"/>
            <w:tcBorders>
              <w:top w:val="single" w:sz="4" w:color="BDC3C7"/>
              <w:bottom w:val="single" w:sz="4" w:color="BDC3C7"/>
              <w:left w:val="single" w:sz="4" w:color="BDC3C7"/>
              <w:right w:val="single" w:sz="4" w:color="BDC3C7"/>
            </w:tcBorders>
          </w:tcPr>
          <w:p>
            <w:r>
              <w:t>$17,821M</w:t>
            </w:r>
          </w:p>
        </w:tc>
      </w:tr>
    </w:tbl>
    <w:p>
      <w:pPr>
        <w:pStyle w:val="SubHeading"/>
      </w:pPr>
      <w:r>
        <w:t>Management guidance:</w:t>
      </w:r>
    </w:p>
    <w:p>
      <w:pPr>
        <w:pStyle w:val="ListBullet"/>
      </w:pPr>
      <w:r>
        <w:t>EPS (Q4 2026): we expect diluted earnings per share to be $3.25 plus minus 15 cents, based on a non-GAAP diluted share count of 385 million shares  — Q3 2026, call, CFO</w:t>
      </w:r>
    </w:p>
    <w:p>
      <w:pPr>
        <w:pStyle w:val="ListBullet"/>
      </w:pPr>
      <w:r>
        <w:t>Other Tax Rate (Q4 2026): The tax rate is expected to be 16%  — Q3 2026, call, CFO</w:t>
      </w:r>
    </w:p>
    <w:p>
      <w:pPr>
        <w:pStyle w:val="ListBullet"/>
      </w:pPr>
      <w:r>
        <w:t>Free Cash Flow (near-term / ongoing): We're approaching our plus 30 or above 30% free cash flow margin  — Q3 2026,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Q EPS</w:t>
            </w:r>
          </w:p>
        </w:tc>
        <w:tc>
          <w:tcPr>
            <w:tcW w:type="dxa" w:w="1632"/>
            <w:tcBorders>
              <w:top w:val="single" w:sz="4" w:color="BDC3C7"/>
              <w:bottom w:val="single" w:sz="4" w:color="BDC3C7"/>
              <w:left w:val="single" w:sz="4" w:color="BDC3C7"/>
              <w:right w:val="single" w:sz="4" w:color="BDC3C7"/>
            </w:tcBorders>
          </w:tcPr>
          <w:p>
            <w:r>
              <w:t>$3.29</w:t>
            </w:r>
          </w:p>
        </w:tc>
        <w:tc>
          <w:tcPr>
            <w:tcW w:type="dxa" w:w="1632"/>
            <w:tcBorders>
              <w:top w:val="single" w:sz="4" w:color="BDC3C7"/>
              <w:bottom w:val="single" w:sz="4" w:color="BDC3C7"/>
              <w:left w:val="single" w:sz="4" w:color="BDC3C7"/>
              <w:right w:val="single" w:sz="4" w:color="BDC3C7"/>
            </w:tcBorders>
          </w:tcPr>
          <w:p>
            <w:r>
              <w:t>$3.55</w:t>
            </w:r>
          </w:p>
        </w:tc>
        <w:tc>
          <w:tcPr>
            <w:tcW w:type="dxa" w:w="1632"/>
            <w:tcBorders>
              <w:top w:val="single" w:sz="4" w:color="BDC3C7"/>
              <w:bottom w:val="single" w:sz="4" w:color="BDC3C7"/>
              <w:left w:val="single" w:sz="4" w:color="BDC3C7"/>
              <w:right w:val="single" w:sz="4" w:color="BDC3C7"/>
            </w:tcBorders>
          </w:tcPr>
          <w:p>
            <w:r>
              <w:t>+0.26</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$9.94</w:t>
            </w:r>
          </w:p>
        </w:tc>
        <w:tc>
          <w:tcPr>
            <w:tcW w:type="dxa" w:w="1632"/>
            <w:tcBorders>
              <w:top w:val="single" w:sz="4" w:color="BDC3C7"/>
              <w:bottom w:val="single" w:sz="4" w:color="BDC3C7"/>
              <w:left w:val="single" w:sz="4" w:color="BDC3C7"/>
              <w:right w:val="single" w:sz="4" w:color="BDC3C7"/>
            </w:tcBorders>
          </w:tcPr>
          <w:p>
            <w:r>
              <w:t>$11.50</w:t>
            </w:r>
          </w:p>
        </w:tc>
        <w:tc>
          <w:tcPr>
            <w:tcW w:type="dxa" w:w="1632"/>
            <w:tcBorders>
              <w:top w:val="single" w:sz="4" w:color="BDC3C7"/>
              <w:bottom w:val="single" w:sz="4" w:color="BDC3C7"/>
              <w:left w:val="single" w:sz="4" w:color="BDC3C7"/>
              <w:right w:val="single" w:sz="4" w:color="BDC3C7"/>
            </w:tcBorders>
          </w:tcPr>
          <w:p>
            <w:r>
              <w:t>+1.56</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$18.17</w:t>
            </w:r>
          </w:p>
        </w:tc>
        <w:tc>
          <w:tcPr>
            <w:tcW w:type="dxa" w:w="1632"/>
            <w:tcBorders>
              <w:top w:val="single" w:sz="4" w:color="BDC3C7"/>
              <w:bottom w:val="single" w:sz="4" w:color="BDC3C7"/>
              <w:left w:val="single" w:sz="4" w:color="BDC3C7"/>
              <w:right w:val="single" w:sz="4" w:color="BDC3C7"/>
            </w:tcBorders>
          </w:tcPr>
          <w:p>
            <w:r>
              <w:t>$20.50</w:t>
            </w:r>
          </w:p>
        </w:tc>
        <w:tc>
          <w:tcPr>
            <w:tcW w:type="dxa" w:w="1632"/>
            <w:tcBorders>
              <w:top w:val="single" w:sz="4" w:color="BDC3C7"/>
              <w:bottom w:val="single" w:sz="4" w:color="BDC3C7"/>
              <w:left w:val="single" w:sz="4" w:color="BDC3C7"/>
              <w:right w:val="single" w:sz="4" w:color="BDC3C7"/>
            </w:tcBorders>
          </w:tcPr>
          <w:p>
            <w:r>
              <w:t>+2.33</w:t>
            </w:r>
          </w:p>
        </w:tc>
        <w:tc>
          <w:tcPr>
            <w:tcW w:type="dxa" w:w="1632"/>
            <w:tcBorders>
              <w:top w:val="single" w:sz="4" w:color="BDC3C7"/>
              <w:bottom w:val="single" w:sz="4" w:color="BDC3C7"/>
              <w:left w:val="single" w:sz="4" w:color="BDC3C7"/>
              <w:right w:val="single" w:sz="4" w:color="BDC3C7"/>
            </w:tcBorders>
          </w:tcPr>
          <w:p>
            <w:r>
              <w:t>interpretation</w:t>
            </w:r>
          </w:p>
        </w:tc>
      </w:tr>
    </w:tbl>
    <w:p>
      <w:pPr>
        <w:pStyle w:val="SubHeading"/>
      </w:pPr>
      <w:r>
        <w:t>Claim 1 — consensus_q_eps</w:t>
      </w:r>
    </w:p>
    <w:p>
      <w:r>
        <w:t>The current quarter consensus of $3.29 sits below management's own Q4 guide midpoint of $3.25 ±$0.15 (high end $3.40), and WDC has beaten the high end of its EPS guide by $0.10-$0.27 in each of the last three quarters — driven by gross margin consistently printing 200-300bps above guidance. Applying the minimum beat pattern to the $3.40 guide ceiling implies $3.50-$3.67, well above the $3.29 consensus.</w:t>
      </w:r>
    </w:p>
    <w:p>
      <w:r>
        <w:t>Street anchor: $3.29 (yfinance consensus (19 analysts, current quarter)) → Our view: $3.55</w:t>
      </w:r>
    </w:p>
    <w:p>
      <w:pPr>
        <w:pStyle w:val="PullQuote"/>
      </w:pPr>
      <w:r>
        <w:t>“we expect diluted earnings per share to be $3.25 plus minus 15 cents, based on a non-GAAP diluted share count of 385 million shares”  (transcript)</w:t>
      </w:r>
    </w:p>
    <w:p>
      <w:pPr>
        <w:pStyle w:val="PullQuote"/>
      </w:pPr>
      <w:r>
        <w:t>“Revenue, gross margin, and earnings per share were all above the high end of the guidance range.”  (transcript)</w:t>
      </w:r>
    </w:p>
    <w:p>
      <w:pPr>
        <w:pStyle w:val="PullQuote"/>
      </w:pPr>
      <w:r>
        <w:t>“Gross margin exceeded 50%, driven by our continued innovation and focus on improving total cost of ownership for our customers through higher capacity drives and increased adoption of our ultra-SMR products.”  (transcript)</w:t>
      </w:r>
    </w:p>
    <w:p>
      <w:r>
        <w:t>Why not consensus: Sell-side analysts typically anchor on the guide midpoint and apply a modest beat assumption; they do not systematically track the magnitude of beats above the guide CEILING across three consecutive quarters, nor do they fully credit the gross margin guide conservatism pattern (47-48% guided, 50%+ printed) as a repeatable structural feature rather than a one-time upside.</w:t>
      </w:r>
    </w:p>
    <w:p>
      <w:pPr>
        <w:pStyle w:val="KillCriteria"/>
      </w:pPr>
      <w:r>
        <w:t>Falsifier: If Q4 2026 gross margin prints at or below 48% (reverting to the guided range) or if revenue comes in below $3.6B, the beat pattern breaks and the consensus $3.29 would prove accurate.</w:t>
      </w:r>
    </w:p>
    <w:p>
      <w:pPr>
        <w:pStyle w:val="SubHeading"/>
      </w:pPr>
      <w:r>
        <w:t>Claim 2 — consensus_fy_eps</w:t>
      </w:r>
    </w:p>
    <w:p>
      <w:r>
        <w:t>The non-GAAP EPS run-rate through Q3 FY2026 is $1.78 + $2.13 + $2.72 = $6.63 for the first three quarters; adding our Q4 estimate of $3.55 (above the $3.25 guide midpoint, consistent with the beat pattern) yields $10.18 non-GAAP FY2026 EPS — already above the $9.94 consensus. The GAAP quarterly table shows Q1-Q3 GAAP EPS of $3.07 + $4.73 + $8.20 = $15.99, but these include large tax benefits; the non-GAAP trajectory is the operative comparison. The consensus appears to be using a Q4 EPS assumption of ~$3.31 ($9.94 - $6.63), which is only $0.06 above the guide midpoint and does not credit the beat pattern.</w:t>
      </w:r>
    </w:p>
    <w:p>
      <w:r>
        <w:t>Street anchor: $9.94 (yfinance consensus (21 analysts, FY2026)) → Our view: $11.50</w:t>
      </w:r>
    </w:p>
    <w:p>
      <w:pPr>
        <w:pStyle w:val="PullQuote"/>
      </w:pPr>
      <w:r>
        <w:t>“As a result, we expect diluted earnings per share to be $3.25 plus minus 15 cents, based on a non-GAAP diluted share count of 385 million shares.”  (transcript)</w:t>
      </w:r>
    </w:p>
    <w:p>
      <w:pPr>
        <w:pStyle w:val="PullQuote"/>
      </w:pPr>
      <w:r>
        <w:t>“Both revenue and EPS were above the high end of the guidance range.”  (transcript)</w:t>
      </w:r>
    </w:p>
    <w:p>
      <w:pPr>
        <w:pStyle w:val="PullQuote"/>
      </w:pPr>
      <w:r>
        <w:t>“The tax rate is expected to be 16%”  (transcript)</w:t>
      </w:r>
    </w:p>
    <w:p>
      <w:r>
        <w:t>Why not consensus: The FY consensus is built as a sum of quarterly estimates; analysts who anchor each quarter's estimate conservatively near the guide midpoint will systematically underestimate the full-year total when the company has a three-quarter pattern of beating the guide ceiling. The consensus revision history (↑1/↓0 over 30 days) suggests the street has not yet fully updated for the Q3 beat and Q4 guide raise.</w:t>
      </w:r>
    </w:p>
    <w:p>
      <w:pPr>
        <w:pStyle w:val="KillCriteria"/>
      </w:pPr>
      <w:r>
        <w:t>Falsifier: If Q4 2026 EPS prints at or below $3.31 (the consensus-implied Q4 assumption), the full-year consensus would prove accurate and the beat pattern would have broken.</w:t>
      </w:r>
    </w:p>
    <w:p>
      <w:pPr>
        <w:pStyle w:val="SubHeading"/>
      </w:pPr>
      <w:r>
        <w:t>Claim 3 — consensus_next_fy_eps</w:t>
      </w:r>
    </w:p>
    <w:p>
      <w:r>
        <w:t>The FY2027 EPS range of $14.98-$22.40 reflects genuine uncertainty, but the low end is inconsistent with management's disclosed multi-year customer agreements through 2027-2028 and the structural demand compounding loop from agentic AI. If WDC sustains 30%+ FCF margins on a revenue base growing toward $17-18B (consistent with the $17.8B consensus revenue), and the gross margin floor holds at 50%+ driven by continued ePMR/UltraSMR mix shift, operating leverage should drive EPS toward the high end of the range. The 5 upward EPS revisions vs. 0 downward over 30 days confirms the street is moving in this direction but has not yet converged.</w:t>
      </w:r>
    </w:p>
    <w:p>
      <w:r>
        <w:t>Street anchor: $18.17 (yfinance consensus (20 analysts, FY2027), range $14.98-$22.40) → Our view: $20.50</w:t>
      </w:r>
    </w:p>
    <w:p>
      <w:pPr>
        <w:pStyle w:val="PullQuote"/>
      </w:pPr>
      <w:r>
        <w:t>“We have firm purchase orders with our top seven customers through calendar year 2026. We also have in place robust commercial agreements with three of our top five customers, two through calendar year 2027, and one through calendar year 2028.”  (transcript)</w:t>
      </w:r>
    </w:p>
    <w:p>
      <w:pPr>
        <w:pStyle w:val="PullQuote"/>
      </w:pPr>
      <w:r>
        <w:t>“We expect agentic AI to drive a step function increase in capacity-oriented storage demand, particularly in cloud and enterprise environments.”  (transcript)</w:t>
      </w:r>
    </w:p>
    <w:p>
      <w:pPr>
        <w:pStyle w:val="PullQuote"/>
      </w:pPr>
      <w:r>
        <w:t>“These forces are not additive. They are a compounding loop. Inference creates data. Agents consume and generate more data. Physical AI creates data and trains”  (transcript)</w:t>
      </w:r>
    </w:p>
    <w:p>
      <w:r>
        <w:t>Why not consensus: The wide FY2027 EPS range ($14.98-$22.40) reflects analysts modeling the HDD cycle risk (hyperscaler capex pause) without fully crediting the structural demand lock-in from multi-year purchase agreements and the new agentic/physical AI demand narrative that management introduced in Q3 2026 — a narrative that most sell-side models have not yet incorporated as a structural demand floor rather than a cyclical tailwind.</w:t>
      </w:r>
    </w:p>
    <w:p>
      <w:pPr>
        <w:pStyle w:val="KillCriteria"/>
      </w:pPr>
      <w:r>
        <w:t>Falsifier: If a major hyperscaler (Microsoft, Google, Amazon, Meta) publicly reduces its storage capex guidance for 2027, or if WDC's Q4 2026 exabyte shipments show sequential deceleration, the structural demand thesis weakens and the low end of the FY2027 range becomes more probable.</w:t>
      </w:r>
    </w:p>
    <w:p>
      <w:r>
        <w:t xml:space="preserve">Management tone shift in Q1 2026→Q2 2026: macro uncertainty acknowledgment: confidence_gain — CEO's complete removal of the macro uncertainty caveat in Q2, replaced by explicit multi-year order </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+31.00%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Cloud near-line volume growth (exabyte)</w:t>
            </w:r>
          </w:p>
        </w:tc>
        <w:tc>
          <w:tcPr>
            <w:tcW w:type="dxa" w:w="2448"/>
            <w:tcBorders>
              <w:top w:val="single" w:sz="4" w:color="BDC3C7"/>
              <w:bottom w:val="single" w:sz="4" w:color="BDC3C7"/>
              <w:left w:val="single" w:sz="4" w:color="BDC3C7"/>
              <w:right w:val="single" w:sz="4" w:color="BDC3C7"/>
            </w:tcBorders>
          </w:tcPr>
          <w:p>
            <w:r>
              <w:t>+30.00%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Exabyte shipments have grown 23% YoY in Q1 2026, 22% YoY in Q2 2026, and 34% YoY in Q3 2026 (per CFO prepared remarks each quarter). The sequential trajectory is 204 → 215 → 222 EB, with management citing 'greater visibi</w:t>
            </w:r>
          </w:p>
        </w:tc>
      </w:tr>
      <w:tr>
        <w:tc>
          <w:tcPr>
            <w:tcW w:type="dxa" w:w="2448"/>
            <w:tcBorders>
              <w:top w:val="single" w:sz="4" w:color="BDC3C7"/>
              <w:bottom w:val="single" w:sz="4" w:color="BDC3C7"/>
              <w:left w:val="single" w:sz="4" w:color="BDC3C7"/>
              <w:right w:val="single" w:sz="4" w:color="BDC3C7"/>
            </w:tcBorders>
          </w:tcPr>
          <w:p>
            <w:r>
              <w:t xml:space="preserve">    ASP per terabyte trajectory</w:t>
            </w:r>
          </w:p>
        </w:tc>
        <w:tc>
          <w:tcPr>
            <w:tcW w:type="dxa" w:w="2448"/>
            <w:tcBorders>
              <w:top w:val="single" w:sz="4" w:color="BDC3C7"/>
              <w:bottom w:val="single" w:sz="4" w:color="BDC3C7"/>
              <w:left w:val="single" w:sz="4" w:color="BDC3C7"/>
              <w:right w:val="single" w:sz="4" w:color="BDC3C7"/>
            </w:tcBorders>
          </w:tcPr>
          <w:p>
            <w:r>
              <w:t>+3.00%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Management cited 'modest low single-digit ASP per terabyte increases on a sequential and a year-over-year basis' in Q1 2026 (CFO Q1 2026 call). Q3 2026 revenue growth of 45.5% YoY on 34% exabyte growth implies ASP per te</w:t>
            </w:r>
          </w:p>
        </w:tc>
      </w:tr>
      <w:tr>
        <w:tc>
          <w:tcPr>
            <w:tcW w:type="dxa" w:w="2448"/>
            <w:tcBorders>
              <w:top w:val="single" w:sz="4" w:color="BDC3C7"/>
              <w:bottom w:val="single" w:sz="4" w:color="BDC3C7"/>
              <w:left w:val="single" w:sz="4" w:color="BDC3C7"/>
              <w:right w:val="single" w:sz="4" w:color="BDC3C7"/>
            </w:tcBorders>
          </w:tcPr>
          <w:p>
            <w:r>
              <w:t xml:space="preserve">    Client and consumer segment contribution</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 xml:space="preserve">Client represented 5-6% of revenue and consumer 5-6% across Q1-Q3 2026. Consumer was down 3% YoY in Q2 2026 (CFO Q2 2026 call). These segments are small and declining as a share of mix. We model a slight drag from these </w:t>
            </w:r>
          </w:p>
        </w:tc>
      </w:tr>
    </w:tbl>
    <w:p>
      <w:pPr>
        <w:pStyle w:val="SubHeading"/>
      </w:pPr>
      <w:r>
        <w:t>Bear revisions:</w:t>
      </w:r>
    </w:p>
    <w:p>
      <w:pPr>
        <w:pStyle w:val="ListBullet"/>
      </w:pPr>
      <w:r>
        <w:t>Revenue Growth.ASP per terabyte trajectory: 5.0 → -3.0 — If the 'improved pricing environment' cited in Q3 2026 reflects a temporary supply-demand imbalance rather than structural pricing power, ASP per terabyte could decline as Seagate (the primary HDD competitor) ramps its own high-capacity drives. A 3% ASP decline combined with 30% volume growth would yield approximately 26% revenue growth vs. our base case of ~35%, reducing FY2027 revenue by approximately $1.5-2B and EPS by approximately $2-3.</w:t>
      </w:r>
    </w:p>
    <w:p>
      <w:pPr>
        <w:pStyle w:val="SubHeading"/>
      </w:pPr>
      <w:r>
        <w:t>Comp decomposition check:</w:t>
      </w:r>
    </w:p>
    <w:p>
      <w:pPr>
        <w:pStyle w:val="ListBullet"/>
      </w:pPr>
      <w:r>
        <w:t>Schema mismatch: peer comps fit 'software'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ListBullet"/>
      </w:pPr>
      <w:r>
        <w:rPr>
          <w:i/>
        </w:rPr>
        <w:t>→ Research: Search confirms WDC's 90% cloud revenue concentration among hyperscalers with multi-year LTAs through 2028, but reveals no disclosed take-or-pay terms. Capex pause risk is material: one hyperscaler capex trim would test pricing power. No quantified customer concentration disclosure found beyond the 90% figure. (tikr.com)</w:t>
      </w:r>
    </w:p>
    <w:p>
      <w:pPr>
        <w:pStyle w:val="SectionHeading"/>
      </w:pPr>
      <w:r>
        <w:t>3. Consensus Gap &amp; Valuation</w:t>
      </w:r>
    </w:p>
    <w:p>
      <w:r>
        <w:t>Our EPS: $11.50  =  baseline $9.94  +  Σ claim impacts $+1.56 (15.7% above consensus $9.94)</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$9.94</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$9.94 → $11.50 (Δ $1.56)</w:t>
            </w:r>
          </w:p>
        </w:tc>
        <w:tc>
          <w:tcPr>
            <w:tcW w:type="dxa" w:w="2448"/>
            <w:tcBorders>
              <w:top w:val="single" w:sz="4" w:color="BDC3C7"/>
              <w:bottom w:val="single" w:sz="4" w:color="BDC3C7"/>
              <w:left w:val="single" w:sz="4" w:color="BDC3C7"/>
              <w:right w:val="single" w:sz="4" w:color="BDC3C7"/>
            </w:tcBorders>
          </w:tcPr>
          <w:p>
            <w:r>
              <w:t>Direct EPS delta: $+1.56/share</w:t>
            </w:r>
          </w:p>
        </w:tc>
        <w:tc>
          <w:tcPr>
            <w:tcW w:type="dxa" w:w="2448"/>
            <w:tcBorders>
              <w:top w:val="single" w:sz="4" w:color="BDC3C7"/>
              <w:bottom w:val="single" w:sz="4" w:color="BDC3C7"/>
              <w:left w:val="single" w:sz="4" w:color="BDC3C7"/>
              <w:right w:val="single" w:sz="4" w:color="BDC3C7"/>
            </w:tcBorders>
          </w:tcPr>
          <w:p>
            <w:r>
              <w:t>+1.56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+1.56</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$11.50</w:t>
            </w:r>
          </w:p>
        </w:tc>
      </w:tr>
    </w:tbl>
    <w:p>
      <w:pPr>
        <w:pStyle w:val="PullQuote"/>
      </w:pPr>
      <w:r>
        <w:t xml:space="preserve">  ⚠ 2 claim(s) target a different fiscal period than the current_fy baseline and weren't summed: consensus_q_eps, consensus_next_fy_eps</w:t>
      </w:r>
    </w:p>
    <w:p>
      <w:r>
        <w:t>Our estimate is $1.56 (15.7%) above consensus $9.94. Primary driver: Revenue Growth.Cloud near-line volume growth (exabyte) (ours +30.0 vs street -1.9, contributing $+5.738 to EPS variant, evidence: moderate). Variant appears NOT fully priced in based on available market data. Next catalyst: Next quarterly earnings report (2026-07-29 (23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Growth.Cloud near-line volume growth (exabyte)</w:t>
            </w:r>
          </w:p>
        </w:tc>
        <w:tc>
          <w:tcPr>
            <w:tcW w:type="dxa" w:w="1958"/>
            <w:tcBorders>
              <w:top w:val="single" w:sz="4" w:color="BDC3C7"/>
              <w:bottom w:val="single" w:sz="4" w:color="BDC3C7"/>
              <w:left w:val="single" w:sz="4" w:color="BDC3C7"/>
              <w:right w:val="single" w:sz="4" w:color="BDC3C7"/>
            </w:tcBorders>
          </w:tcPr>
          <w:p>
            <w:r>
              <w:t>+30.00</w:t>
            </w:r>
          </w:p>
        </w:tc>
        <w:tc>
          <w:tcPr>
            <w:tcW w:type="dxa" w:w="1958"/>
            <w:tcBorders>
              <w:top w:val="single" w:sz="4" w:color="BDC3C7"/>
              <w:bottom w:val="single" w:sz="4" w:color="BDC3C7"/>
              <w:left w:val="single" w:sz="4" w:color="BDC3C7"/>
              <w:right w:val="single" w:sz="4" w:color="BDC3C7"/>
            </w:tcBorders>
          </w:tcPr>
          <w:p>
            <w:r>
              <w:t>-1.88</w:t>
            </w:r>
          </w:p>
        </w:tc>
        <w:tc>
          <w:tcPr>
            <w:tcW w:type="dxa" w:w="1958"/>
            <w:tcBorders>
              <w:top w:val="single" w:sz="4" w:color="BDC3C7"/>
              <w:bottom w:val="single" w:sz="4" w:color="BDC3C7"/>
              <w:left w:val="single" w:sz="4" w:color="BDC3C7"/>
              <w:right w:val="single" w:sz="4" w:color="BDC3C7"/>
            </w:tcBorders>
          </w:tcPr>
          <w:p>
            <w:r>
              <w:t>+5.738</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Revenue Growth.ASP per terabyte trajectory</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Revenue Growth.Client and consumer segment contribution</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(+15.7%) exceeds implied move (7.8%). Short interest 8.7% neutral</w:t>
      </w:r>
    </w:p>
    <w:p>
      <w:r>
        <w:t>Edge verdict: ACTIONABLE_EDGE (score 0.242).</w:t>
      </w:r>
    </w:p>
    <w:p>
      <w:pPr>
        <w:pStyle w:val="SectionHeading"/>
      </w:pPr>
      <w:r>
        <w:t>4. Catalysts</w:t>
      </w:r>
    </w:p>
    <w:p>
      <w:pPr>
        <w:pStyle w:val="ListBullet"/>
      </w:pPr>
      <w:r>
        <w:t>Next quarterly earnings report (2026-07-29 (23 days)) — resolves revenue + margins + guidance; confirms or challenges</w:t>
      </w:r>
    </w:p>
    <w:p>
      <w:pPr>
        <w:pStyle w:val="ListBullet"/>
      </w:pPr>
      <w:r>
        <w:t>Resolution: Gross margin is structurally above 50% and will continue expanding as ePMR and U (Multi-year thesis -- patience required) — resolves Gross Margin; confirms or challenges</w:t>
      </w:r>
    </w:p>
    <w:p>
      <w:pPr>
        <w:pStyle w:val="ListBullet"/>
      </w:pPr>
      <w:r>
        <w:t>Resolution: Multi-year customer agreements provide demand visibility and a revenue floor thr (Multi-year thesis -- patience required) — resolves Revenue Growth; confirms or challenges</w:t>
      </w:r>
    </w:p>
    <w:p>
      <w:pPr>
        <w:pStyle w:val="ListBullet"/>
      </w:pPr>
      <w:r>
        <w:t>Resolution: Broad-based insider selling (CEO, COO, CLO, CSO, multiple directors) at average  (Multi-year thesis -- patience required) — resolves Revenue Growth; confirms or challenges</w:t>
      </w:r>
    </w:p>
    <w:p>
      <w:pPr>
        <w:pStyle w:val="ListBullet"/>
      </w:pPr>
      <w:r>
        <w:t>Explicit gross margin guidance for Q4 2026 and FY2027 — management has not provided a gross margin r (Unknown timing) — resolves multiple; resolves uncertainty</w:t>
      </w:r>
    </w:p>
    <w:p>
      <w:pPr>
        <w:pStyle w:val="ListBullet"/>
      </w:pPr>
      <w:r>
        <w:t>Volume and pricing terms of the multi-year customer agreements — management discloses the existence  (Unknown timing) — resolves multiple; resolves uncertainty</w:t>
      </w:r>
    </w:p>
    <w:p>
      <w:pPr>
        <w:pStyle w:val="SectionHeading"/>
      </w:pPr>
      <w:r>
        <w:t>5. Risks, Blind Spots &amp; Kill Criteria</w:t>
      </w:r>
    </w:p>
    <w:p>
      <w:pPr>
        <w:pStyle w:val="SubHeading"/>
      </w:pPr>
      <w:r>
        <w:t>Top risks:</w:t>
      </w:r>
    </w:p>
    <w:p>
      <w:pPr>
        <w:pStyle w:val="ListBullet"/>
      </w:pPr>
      <w:r>
        <w:t>Gross margin is structurally above 50% and will continue expanding as ePMR and UltraSMR adoption accelerates — counter: Management guided 47-48% gross margin for Q3 2026 and printed 50%+, but has not provided explicit gross margin guidance for Q4 2026 or FY2027. The Q2 2026 Q&amp;A question on gross margin durability was substantively unanswered ('Yes, Aaron, thanks for your question. And so' — transcript truncated). The analyst who asked about '70-75% incremental margin flow-through' received no explicit confirmation. If the pricing environment normalizes from 'improved' to 'stable,' the ASP-per-terabyte tailwind that contributed to the Q3 beat could reverse. [moderate]</w:t>
      </w:r>
    </w:p>
    <w:p>
      <w:pPr>
        <w:pStyle w:val="ListBullet"/>
      </w:pPr>
      <w:r>
        <w:t>Multi-year customer agreements provide demand visibility and a revenue floor through 2027-2028 — counter: The purchase agreements are described as 'firm purchase orders' and 'commercial agreements' but the specific volume commitments, pricing terms, and take-or-pay provisions are not disclosed. If hyperscaler capex pauses (as META's July 2026 commentary on compute sufficiency briefly suggested per StockTwits data), the agreements may provide less protection than management implies. The social topic analysis flags 'WDC inability to hold intraday gains' and META's compute commentary as retail concerns management has not addressed. [moderate]</w:t>
      </w:r>
    </w:p>
    <w:p>
      <w:pPr>
        <w:pStyle w:val="ListBullet"/>
      </w:pPr>
      <w:r>
        <w:t>Broad-based insider selling (CEO, COO, CLO, CSO, multiple directors) at average prices of $260-$390 is a diversification exercise, not a signal of fundamental concern — counter: Director Massengill sold 51.8% of his stake ($9.62M) in a single transaction on February 5, 2026. CEO Tan sold 6.3% of his stake across two transactions. The breadth and magnitude of insider selling — 7 different insiders selling across a 5-month window — is unusual and warrants monitoring. The stock has since moved to ~$539 (per July 4 news), suggesting insiders may have sold too early, but the pattern could also reflect insiders' view that the current valuation is full. [moderate]</w:t>
      </w:r>
    </w:p>
    <w:p>
      <w:pPr>
        <w:pStyle w:val="ListBullet2"/>
      </w:pPr>
      <w:r>
        <w:rPr>
          <w:i/>
        </w:rPr>
        <w:t>→ Research [UPDATES]: Form 4 confirms February 5, 2026 sale of 39,513 shares for $9.62M, but sale was executed under pre-arranged Rule 10b5-1 plan adopted November 6, 2025—not an unplanned transaction. Percentage of stake sold cannot be verified from available sources. (investing.com)</w:t>
      </w:r>
    </w:p>
    <w:p>
      <w:pPr>
        <w:pStyle w:val="KillCriteria"/>
      </w:pPr>
      <w:r>
        <w:t>What would change our mind: Print on Revenue Growth.Cloud near-line volume growth (exabyte) comes in below our +30.0 figure (toward street -1.9) in the next 1-2 prints.</w:t>
      </w:r>
    </w:p>
    <w:p>
      <w:pPr>
        <w:pStyle w:val="SectionHeading"/>
      </w:pPr>
      <w:r>
        <w:t>Appendix</w:t>
      </w:r>
    </w:p>
    <w:p>
      <w:pPr>
        <w:pStyle w:val="SubHeading"/>
      </w:pPr>
      <w:r>
        <w:t>Business context:</w:t>
      </w:r>
    </w:p>
    <w:p>
      <w:r>
        <w:t>Western Digital (WDC) is a pure-play hard disk drive company that designs and sells high-capacity near-line HDDs — primarily using ePMR, UltraSMR, and HAMR technologies — almost entirely to hyperscalers and cloud service providers (~89% of revenue). The company generates revenue and margin growth by transitioning customers to ever-higher capacity drives that improve their total cost of ownership, supported by multi-year purchase agreements extending through 2027-2028.</w:t>
      </w:r>
    </w:p>
    <w:p>
      <w:pPr>
        <w:pStyle w:val="SubHeading"/>
      </w:pPr>
      <w:r>
        <w:t>Evidence gaps (research TODO):</w:t>
      </w:r>
    </w:p>
    <w:p>
      <w:pPr>
        <w:pStyle w:val="ListBullet"/>
      </w:pPr>
      <w:r>
        <w:t>Explicit gross margin guidance for Q4 2026 and FY2027 — management has not provided a gross margin range for Q4 despite the Q3 beat being 200-300bps above the Q3 guide; the Q2 Q&amp;A on margin durability was substantively unanswered</w:t>
      </w:r>
    </w:p>
    <w:p>
      <w:pPr>
        <w:pStyle w:val="ListBullet"/>
      </w:pPr>
      <w:r>
        <w:t>Volume and pricing terms of the multi-year customer agreements — management discloses the existence of agreements through 2027-2028 but not the specific exabyte commitments, pricing floors, or take-or-pay provisions that would allow independent verification of the demand floor</w:t>
      </w:r>
    </w:p>
    <w:p>
      <w:pPr>
        <w:pStyle w:val="ListBullet"/>
      </w:pPr>
      <w:r>
        <w:t>HAMR qualification timeline and revenue contribution — management started HAMR qualification with a hyperscale customer in Q2 2026 but has not disclosed expected qualification completion date, initial revenue contribution, or margin profile vs. ePMR</w:t>
      </w:r>
    </w:p>
    <w:p>
      <w:pPr>
        <w:pStyle w:val="ListBullet"/>
      </w:pPr>
      <w:r>
        <w:t>Seagate competitive response — WDC's primary HDD competitor has not been mentioned by management in any of the three quarters analyzed; understanding Seagate's capacity ramp and pricing strategy is essential for validating the ASP trajectory assumption</w:t>
      </w:r>
    </w:p>
    <w:p>
      <w:pPr>
        <w:pStyle w:val="ListBullet"/>
      </w:pPr>
      <w:r>
        <w:t>Sandisk remaining stake (1.7M shares) — management disclosed 1.7M Sandisk shares remaining at Q3 end; the timing and method of monetizing this stake could provide additional balance sheet optionality or create a one-time EPS event</w:t>
      </w:r>
    </w:p>
    <w:p>
      <w:pPr>
        <w:pStyle w:val="ListBullet"/>
      </w:pPr>
      <w:r>
        <w:t>SK Hynix IPO institutional rotation impact — retail is actively debating whether institutions are selling WDC/SNDK to fund SK Hynix IPO participation; management has not addressed this and it is unverifiable from public data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