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Title"/>
      </w:pPr>
      <w:r>
        <w:t>WING</w:t>
      </w:r>
    </w:p>
    <w:p>
      <w:pPr>
        <w:pStyle w:val="SmallMeta"/>
      </w:pPr>
      <w:r>
        <w:t>As of 2026-04-22  |  Schema: general  |  Data: polygon+alpha_vantage (FY2025)</w:t>
      </w:r>
    </w:p>
    <w:p>
      <w:pPr>
        <w:pStyle w:val="SubHeading"/>
      </w:pPr>
      <w:r>
        <w:rPr>
          <w:color w:val="8C1D40"/>
        </w:rPr>
        <w:t>Direction: LONG | Current: $191.11</w:t>
      </w:r>
    </w:p>
    <w:p>
      <w:pPr>
        <w:pStyle w:val="SubHeading"/>
      </w:pPr>
      <w:r>
        <w:t>Summary</w:t>
      </w:r>
    </w:p>
    <w:p>
      <w:pPr>
        <w:pStyle w:val="ListBullet"/>
      </w:pPr>
      <w:r>
        <w:t>Next catalyst: Next quarterly earnings report (~60 days)</w:t>
      </w:r>
    </w:p>
    <w:p>
      <w:pPr>
        <w:pStyle w:val="ListBullet"/>
      </w:pPr>
      <w:r>
        <w:t>Top risk: Analysis based on FY2024 results</w:t>
      </w:r>
    </w:p>
    <w:p>
      <w:pPr>
        <w:pStyle w:val="SectionHeading"/>
      </w:pPr>
      <w:r>
        <w:t>1. Edge</w:t>
      </w:r>
    </w:p>
    <w:p>
      <w:pPr>
        <w:pStyle w:val="PullQuote"/>
      </w:pPr>
      <w:r>
        <w:t>Counter: the analyst claims High growth rates justify valuation premium — but The 19.9% domestic same-store sales growth is mathematically unsustainable and guidance of 'low-to-mid single digit' for FY2025 represents a 15+ percentage point deceleration, suggesting the current results represent a demand pull-forward rather than sustainable momentum</w:t>
      </w:r>
    </w:p>
    <w:p>
      <w:pPr>
        <w:pStyle w:val="SectionHeading"/>
      </w:pPr>
      <w:r>
        <w:t>2. Drivers</w:t>
      </w:r>
    </w:p>
    <w:p>
      <w:pPr>
        <w:pStyle w:val="PullQuote"/>
      </w:pPr>
      <w:r>
        <w:t>Counter: the analyst claims Franchise model provides predictable, capital-light growth — but SG&amp;A growing 20% while revenues grew 36% indicates negative operational leverage, and the $46M net interest expense suggests the company is debt-financing growth rather than generating organic cash flow, fundamentally changing the investment thesis</w:t>
      </w:r>
    </w:p>
    <w:p>
      <w:pPr>
        <w:pStyle w:val="PullQuote"/>
      </w:pPr>
      <w:r>
        <w:t>Counter: the analyst claims Franchise model reduces operational risk — but The $224M in advertising fees represents 36% of total revenue and creates structural dependence on franchisee financial health - any franchisee distress directly hits the corporate income statement, making this less defensive than a pure royalty model</w:t>
      </w:r>
    </w:p>
    <w:p>
      <w:pPr>
        <w:pStyle w:val="SectionHeading"/>
      </w:pPr>
      <w:r>
        <w:t>3. Consensus Gap &amp; Valuation</w:t>
      </w:r>
    </w:p>
    <w:p>
      <w:r>
        <w:t>Our estimate: EPS $16.52 vs. consensus $4.44 ($12.08 / 272.1% above).</w:t>
      </w:r>
    </w:p>
    <w:p>
      <w:r>
        <w:t>Our estimate is $12.08 (272.1%) above consensus $4.44. Variant appears NOT fully priced in based on available market data. Next catalyst: Next quarterly earnings report (~60 days). Time horizon: swing.</w:t>
      </w:r>
    </w:p>
    <w:p>
      <w:r>
        <w:t>Priced in: not fully — Variant (+272.1%) exceeds implied move (6.2%). Short interest 13.1% supports</w:t>
      </w:r>
    </w:p>
    <w:p>
      <w:r>
        <w:t>Edge verdict: ACTIONABLE_EDGE (score 0.280).</w:t>
      </w:r>
    </w:p>
    <w:p>
      <w:pPr>
        <w:pStyle w:val="PullQuote"/>
      </w:pPr>
      <w:r>
        <w:t>Counter: the analyst claims Current valuation metrics are attractive relative to growth — but Using a $4.44 consensus EPS against $3.70 actual creates a 20% valuation gap, and the analyst hasn't adjusted for the $26M annual stock compensation dilution or the working capital requirements of shifting toward company-owned locations</w:t>
      </w:r>
    </w:p>
    <w:p>
      <w:pPr>
        <w:pStyle w:val="SectionHeading"/>
      </w:pPr>
      <w:r>
        <w:t>4. Catalysts</w:t>
      </w:r>
    </w:p>
    <w:p>
      <w:pPr>
        <w:pStyle w:val="ListBullet"/>
      </w:pPr>
      <w:r>
        <w:t>Next quarterly earnings report (~60 days) — resolves revenue + margins + guidance; confirms or challenges</w:t>
      </w:r>
    </w:p>
    <w:p>
      <w:pPr>
        <w:pStyle w:val="ListBullet"/>
      </w:pPr>
      <w:r>
        <w:t>Resolution: Analyst blind spot (Multi-year thesis -- patience required) — resolves general; confirms or challenges</w:t>
      </w:r>
    </w:p>
    <w:p>
      <w:pPr>
        <w:pStyle w:val="ListBullet"/>
      </w:pPr>
      <w:r>
        <w:t>Resolution: Analyst blind spot (Multi-year thesis -- patience required) — resolves general; confirms or challenges</w:t>
      </w:r>
    </w:p>
    <w:p>
      <w:pPr>
        <w:pStyle w:val="ListBullet"/>
      </w:pPr>
      <w:r>
        <w:t>Resolution: Analyst blind spot (Multi-year thesis -- patience required) — resolves general; confirms or challenges</w:t>
      </w:r>
    </w:p>
    <w:p>
      <w:pPr>
        <w:pStyle w:val="SectionHeading"/>
      </w:pPr>
      <w:r>
        <w:t>5. Risks, Blind Spots &amp; Kill Criteria</w:t>
      </w:r>
    </w:p>
    <w:p>
      <w:pPr>
        <w:pStyle w:val="SubHeading"/>
      </w:pPr>
      <w:r>
        <w:t>Top risks:</w:t>
      </w:r>
    </w:p>
    <w:p>
      <w:pPr>
        <w:pStyle w:val="ListBullet"/>
      </w:pPr>
      <w:r>
        <w:t>Analysis based on FY2024 results — counter: Filing contains contradictory date references - mentions both 'December 27, 2025' and 'February 18, 2026' for what appears to be FY2024 results, indicating potential data integrity issues [serious]</w:t>
      </w:r>
    </w:p>
    <w:p>
      <w:pPr>
        <w:pStyle w:val="ListBullet"/>
      </w:pPr>
      <w:r>
        <w:t>Analyst blind spot — counter: Unit economics deterioration hidden by aggressive expansion - 19.9% same-store sales growth is unsustainably high and likely pulls forward future demand [moderate]</w:t>
      </w:r>
    </w:p>
    <w:p>
      <w:pPr>
        <w:pStyle w:val="ListBullet"/>
      </w:pPr>
      <w:r>
        <w:t>Analyst blind spot — counter: Capital intensity shift - moving from pure franchise model (2,154 franchise vs 50 company-owned) but analyst hasn't modeled the working capital and ROIC implications of this transition [moderate]</w:t>
      </w:r>
    </w:p>
    <w:p>
      <w:pPr>
        <w:pStyle w:val="SubHeading"/>
      </w:pPr>
      <w:r>
        <w:t>Blind spots (auditor-independent):</w:t>
      </w:r>
    </w:p>
    <w:p>
      <w:pPr>
        <w:pStyle w:val="ListBullet"/>
      </w:pPr>
      <w:r>
        <w:t>Unit economics deterioration hidden by aggressive expansion - 19.9% same-store sales growth is unsustainably high and likely pulls forward future demand</w:t>
      </w:r>
    </w:p>
    <w:p>
      <w:pPr>
        <w:pStyle w:val="ListBullet"/>
      </w:pPr>
      <w:r>
        <w:t>Capital intensity shift - moving from pure franchise model (2,154 franchise vs 50 company-owned) but analyst hasn't modeled the working capital and ROIC implications of this transition</w:t>
      </w:r>
    </w:p>
    <w:p>
      <w:pPr>
        <w:pStyle w:val="ListBullet"/>
      </w:pPr>
      <w:r>
        <w:t>SG&amp;A explosion - jumping from current $116.8M to guided $140M (20% increase) suggests operational leverage is breaking down despite scale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Title"/>
    <w:pPr>
      <w:spacing w:before="0" w:after="40" w:line="276" w:lineRule="auto"/>
    </w:pPr>
    <w:rPr>
      <w:rFonts w:ascii="Calibri" w:hAnsi="Calibri"/>
      <w:b/>
      <w:i w:val="0"/>
      <w:color w:val="0F2A4E"/>
      <w:sz w:val="40"/>
    </w:rPr>
  </w:style>
  <w:style w:type="paragraph" w:customStyle="1" w:styleId="SectionHeading">
    <w:name w:val="SectionHeading"/>
    <w:pPr>
      <w:spacing w:before="280" w:after="80" w:line="276" w:lineRule="auto"/>
    </w:pPr>
    <w:rPr>
      <w:rFonts w:ascii="Calibri" w:hAnsi="Calibri"/>
      <w:b/>
      <w:i w:val="0"/>
      <w:color w:val="0F2A4E"/>
      <w:sz w:val="28"/>
    </w:rPr>
  </w:style>
  <w:style w:type="paragraph" w:customStyle="1" w:styleId="SubHeading">
    <w:name w:val="SubHeading"/>
    <w:pPr>
      <w:spacing w:before="120" w:after="40" w:line="276" w:lineRule="auto"/>
    </w:pPr>
    <w:rPr>
      <w:rFonts w:ascii="Calibri" w:hAnsi="Calibri"/>
      <w:b/>
      <w:i w:val="0"/>
      <w:color w:val="334B6B"/>
      <w:sz w:val="22"/>
    </w:rPr>
  </w:style>
  <w:style w:type="paragraph" w:customStyle="1" w:styleId="PullQuote">
    <w:name w:val="PullQuote"/>
    <w:pPr>
      <w:spacing w:before="80" w:after="120" w:line="276" w:lineRule="auto"/>
      <w:ind w:left="432"/>
    </w:pPr>
    <w:rPr>
      <w:rFonts w:ascii="Calibri" w:hAnsi="Calibri"/>
      <w:b w:val="0"/>
      <w:i/>
      <w:color w:val="555555"/>
      <w:sz w:val="21"/>
    </w:rPr>
  </w:style>
  <w:style w:type="paragraph" w:customStyle="1" w:styleId="KillCriteria">
    <w:name w:val="KillCriteria"/>
    <w:pPr>
      <w:spacing w:before="120" w:after="120" w:line="276" w:lineRule="auto"/>
    </w:pPr>
    <w:rPr>
      <w:rFonts w:ascii="Calibri" w:hAnsi="Calibri"/>
      <w:b/>
      <w:i w:val="0"/>
      <w:color w:val="8C1D40"/>
      <w:sz w:val="21"/>
    </w:rPr>
  </w:style>
  <w:style w:type="paragraph" w:customStyle="1" w:styleId="ReportBullet">
    <w:name w:val="ReportBullet"/>
    <w:pPr>
      <w:spacing w:before="0" w:after="60" w:line="276" w:lineRule="auto"/>
    </w:pPr>
    <w:rPr>
      <w:rFonts w:ascii="Calibri" w:hAnsi="Calibri"/>
      <w:b w:val="0"/>
      <w:i w:val="0"/>
      <w:color w:val="1A1A1A"/>
      <w:sz w:val="21"/>
    </w:rPr>
  </w:style>
  <w:style w:type="paragraph" w:customStyle="1" w:styleId="ReportCaption">
    <w:name w:val="ReportCaption"/>
    <w:pPr>
      <w:spacing w:before="40" w:after="40" w:line="276" w:lineRule="auto"/>
    </w:pPr>
    <w:rPr>
      <w:rFonts w:ascii="Calibri" w:hAnsi="Calibri"/>
      <w:b w:val="0"/>
      <w:i/>
      <w:color w:val="555555"/>
      <w:sz w:val="18"/>
    </w:rPr>
  </w:style>
  <w:style w:type="paragraph" w:customStyle="1" w:styleId="SmallMeta">
    <w:name w:val="SmallMeta"/>
    <w:pPr>
      <w:spacing w:before="0" w:after="80" w:line="276" w:lineRule="auto"/>
    </w:pPr>
    <w:rPr>
      <w:rFonts w:ascii="Calibri" w:hAnsi="Calibri"/>
      <w:b w:val="0"/>
      <w:i w:val="0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