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WING — Wingstop operates a highly franchised restaurant chain specializing in</w:t>
      </w:r>
    </w:p>
    <w:p>
      <w:pPr>
        <w:pStyle w:val="SmallMeta"/>
      </w:pPr>
      <w:r>
        <w:t>As of 2026-04-22  |  Schema: franchise_restaurant  |  Data: polygon+alpha_vantage (FY2025)</w:t>
      </w:r>
    </w:p>
    <w:p>
      <w:pPr>
        <w:pStyle w:val="SubHeading"/>
      </w:pPr>
      <w:r>
        <w:rPr>
          <w:color w:val="8C1D40"/>
        </w:rPr>
        <w:t>Direction: SHORT | Current: $191.25</w:t>
      </w:r>
    </w:p>
    <w:p>
      <w:pPr>
        <w:pStyle w:val="SubHeading"/>
      </w:pPr>
      <w:r>
        <w:t>Summary</w:t>
      </w:r>
    </w:p>
    <w:p>
      <w:pPr>
        <w:pStyle w:val="ListBullet"/>
      </w:pPr>
      <w:r>
        <w:t>Thesis: Street underestimates the SSS recovery timeline and overestimates 2026 margin expansion. Smart Kitchen benefits are real but take 6+ months to materialize, while the consumer headwinds that drove -3% 2025 comps persist longer than the 'flat to low single-digit' 2026 guide implies.</w:t>
      </w:r>
    </w:p>
    <w:p>
      <w:pPr>
        <w:pStyle w:val="ListBullet"/>
      </w:pPr>
      <w:r>
        <w:t>Next catalyst: Next quarterly earnings report (~60 days)</w:t>
      </w:r>
    </w:p>
    <w:p>
      <w:pPr>
        <w:pStyle w:val="ListBullet"/>
      </w:pPr>
      <w:r>
        <w:t>Top risk: Smart Kitchen technology will drive immediate SSS recovery in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$1.66 is 63% below consensus $4.44. Claims this extreme require specific named catastrophic (or windfall) mechanisms — review the brief + adversarial output and confirm the thesis supports this magnitude, or treat the number as mis-calibrated.</w:t>
            </w:r>
          </w:p>
        </w:tc>
      </w:tr>
    </w:tbl>
    <w:p>
      <w:pPr>
        <w:pStyle w:val="SectionHeading"/>
      </w:pPr>
      <w:r>
        <w:t>1. Edge</w:t>
      </w:r>
    </w:p>
    <w:p>
      <w:r>
        <w:t>Street underestimates the SSS recovery timeline and overestimates 2026 margin expansion. Smart Kitchen benefits are real but take 6+ months to materialize, while the consumer headwinds that drove -3% 2025 comps persist longer than the 'flat to low single-digit' 2026 guide implies.</w:t>
      </w:r>
    </w:p>
    <w:p>
      <w:r>
        <w:t>Consensus $4.44 EPS implies material margin expansion and SSS recovery, but management's own guidance of 'flat to low single-digit' SSS suggests continued pressure. The Q4 2025 call revealed Smart Kitchen restaurants need 3-6 months to show benefits, meaning most of the 2025 rollout won't impact 2026 meaningfully. Street is anchored on the 21-year SSS streak without modeling the structural consumer shift affecting middle-income customers.</w:t>
      </w:r>
    </w:p>
    <w:p>
      <w:r>
        <w:t>The debate: Whether Wingstop can return to positive same-store sales growth after posting its first decline in 22 years (-3% in 2025) while maintaining aggressive unit expansion and whether the Smart Kitchen technology rollout will drive the promised AUV improvement.</w:t>
      </w:r>
    </w:p>
    <w:p>
      <w:pPr>
        <w:pStyle w:val="SubHeading"/>
      </w:pPr>
      <w:r>
        <w:t>What consensus assumes:</w:t>
      </w:r>
    </w:p>
    <w:p>
      <w:pPr>
        <w:pStyle w:val="ListBullet"/>
      </w:pPr>
      <w:r>
        <w:t>sss_growth_pct: Street likely assumes +2-3% SSS recovery based on Smart Kitchen rollout and loyalty program launch, but management guides 'flat to low single-digit' suggesting much weaker recovery expectations</w:t>
      </w:r>
    </w:p>
    <w:p>
      <w:pPr>
        <w:pStyle w:val="ListBullet"/>
      </w:pPr>
      <w:r>
        <w:t>new_restaurants: Consensus probably models the guided 15-16% unit growth (380-410 new stores) as pure upside given strong franchisee demand, but this creates same-store sales headwinds through cannibalization</w:t>
      </w:r>
    </w:p>
    <w:p>
      <w:pPr>
        <w:pStyle w:val="ListBullet"/>
      </w:pPr>
      <w:r>
        <w:t>sga_delta_bps: Street likely models SG&amp;A leverage from revenue growth, but management guided $140M SG&amp;A (vs $128.4M in 2025) suggesting 18% growth that outpaces revenue</w:t>
      </w:r>
    </w:p>
    <w:p>
      <w:pPr>
        <w:pStyle w:val="SubHeading"/>
      </w:pPr>
      <w:r>
        <w:t>Where we differ from guidance:</w:t>
      </w:r>
    </w:p>
    <w:p>
      <w:pPr>
        <w:pStyle w:val="ListBullet"/>
      </w:pPr>
      <w:r>
        <w:t>sss_growth_pct: Management guides 'flat to low single-digit percent growth' for 2026 domestic SSS. We model +1% at the low end of this range because Smart Kitchen benefits take 3-6 months to materialize per the Q4 call, and consumer pressure on middle-income customers persists</w:t>
      </w:r>
    </w:p>
    <w:p>
      <w:pPr>
        <w:pStyle w:val="ListBullet"/>
      </w:pPr>
      <w:r>
        <w:t>new_restaurants: Management guides 15-16% global unit growth. We model 15% (395 new stores) at the low end given the aggressive pace and potential execution challenges with simultaneous Smart Kitchen rollout</w:t>
      </w:r>
    </w:p>
    <w:p>
      <w:pPr>
        <w:pStyle w:val="ListBullet"/>
      </w:pPr>
      <w:r>
        <w:t>sga_delta_bps: Management guides ~$140M SG&amp;A vs our model of $142M. We're slightly above guide due to continued technology investments and headcount additions to support 15%+ unit growth</w:t>
      </w:r>
    </w:p>
    <w:p>
      <w:pPr>
        <w:pStyle w:val="PullQuote"/>
      </w:pPr>
      <w:r>
        <w:t>Counter: the analyst claims Street underestimates SSS recovery timeline because consumer headwinds persist longer than guidance implies — but The analyst's core premise appears factually incorrect - management guided to continued growth, not recovery from decline. If comps are actually still positive, the 'recovery' thesis collapses and the short case lacks foundation. This isn't about timing, it's about directional accuracy.</w:t>
      </w:r>
    </w:p>
    <w:p>
      <w:pPr>
        <w:pStyle w:val="PullQuote"/>
      </w:pPr>
      <w:r>
        <w:t>Counter: the analyst claims Street overestimates 2026 margin expansion while analyst has superior insight into timing — but With SG&amp;A guided to $140M (22.4% of revenue) vs $116.8M actual (18.7% of revenue), management is already signaling margin pressure. If the Street consensus EPS of $4.44 already reflects this deleverage, the analyst's margin pessimism may already be priced in, weakening the short thesis edge.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+0.80%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+350.00%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total_new_openings</w:t>
            </w:r>
          </w:p>
        </w:tc>
        <w:tc>
          <w:tcPr>
            <w:tcW w:type="dxa" w:w="2448"/>
            <w:tcBorders>
              <w:top w:val="single" w:sz="4" w:color="BDC3C7"/>
              <w:bottom w:val="single" w:sz="4" w:color="BDC3C7"/>
              <w:left w:val="single" w:sz="4" w:color="BDC3C7"/>
              <w:right w:val="single" w:sz="4" w:color="BDC3C7"/>
            </w:tcBorders>
          </w:tcPr>
          <w:p>
            <w:r>
              <w:t>+350.00%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p>
        </w:tc>
      </w:tr>
    </w:tbl>
    <w:p>
      <w:pPr>
        <w:pStyle w:val="PullQuote"/>
      </w:pPr>
      <w:r>
        <w:t>Counter: the analyst claims Smart Kitchen benefits are real but take 6+ months to materialize — but No evidence of Smart Kitchen technology in current filings suggests this driver is either obsolete, misnamed, or confused with another initiative. Building a thesis around a technology that may not exist creates phantom precision in the model.</w:t>
      </w:r>
    </w:p>
    <w:p>
      <w:pPr>
        <w:pStyle w:val="PullQuote"/>
      </w:pPr>
      <w:r>
        <w:t>Counter: the analyst claims Traffic and ticket growth assumptions of 0.5% each support the SSS projection — but In a 36.8% system sales growth environment, 1% total SSS growth would represent dramatic deceleration that requires explanation. Either the growth was purely unit-driven (suggesting saturation), acquisition-driven, or the analyst is modeling an inexplicable collapse in unit economics without identifying the cause.</w:t>
      </w:r>
    </w:p>
    <w:p>
      <w:pPr>
        <w:pStyle w:val="SectionHeading"/>
      </w:pPr>
      <w:r>
        <w:t>3. Consensus Gap &amp; Valuation</w:t>
      </w:r>
    </w:p>
    <w:p>
      <w:r>
        <w:t>Our estimate: EPS $1.66 vs. consensus $4.44 ($2.78 / 62.6% below).</w:t>
      </w:r>
    </w:p>
    <w:p>
      <w:r>
        <w:t>Our estimate is $2.78 (62.6%) below consensus $4.44. Primary driver: Same-Store Sales Growth.traffic_growth (ours +0.3 vs street +30.0, contributing $+0.000 to EPS variant, evidence: weak). Variant appears NOT fully priced in based on available market data. Next catalyst: Next quarterly earnings report (~60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Same-Store Sales Growth.traffic_growth</w:t>
            </w:r>
          </w:p>
        </w:tc>
        <w:tc>
          <w:tcPr>
            <w:tcW w:type="dxa" w:w="1958"/>
            <w:tcBorders>
              <w:top w:val="single" w:sz="4" w:color="BDC3C7"/>
              <w:bottom w:val="single" w:sz="4" w:color="BDC3C7"/>
              <w:left w:val="single" w:sz="4" w:color="BDC3C7"/>
              <w:right w:val="single" w:sz="4" w:color="BDC3C7"/>
            </w:tcBorders>
          </w:tcPr>
          <w:p>
            <w:r>
              <w:t>+0.30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Same-Store Sales Growth.ticket_growth</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0.30</w:t>
            </w:r>
          </w:p>
        </w:tc>
      </w:tr>
      <w:tr>
        <w:tc>
          <w:tcPr>
            <w:tcW w:type="dxa" w:w="1958"/>
            <w:tcBorders>
              <w:top w:val="single" w:sz="4" w:color="BDC3C7"/>
              <w:bottom w:val="single" w:sz="4" w:color="BDC3C7"/>
              <w:left w:val="single" w:sz="4" w:color="BDC3C7"/>
              <w:right w:val="single" w:sz="4" w:color="BDC3C7"/>
            </w:tcBorders>
          </w:tcPr>
          <w:p>
            <w:r>
              <w:t>New Restaurant Openings.total_new_openings</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0.65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(-62.6%) exceeds implied move (6.2%). Short interest 13.1% neutral</w:t>
      </w:r>
    </w:p>
    <w:p>
      <w:r>
        <w:t>Edge verdict: ACTIONABLE_EDGE (score 0.280).</w:t>
      </w:r>
    </w:p>
    <w:p>
      <w:pPr>
        <w:pStyle w:val="SectionHeading"/>
      </w:pPr>
      <w:r>
        <w:t>4. Catalysts</w:t>
      </w:r>
    </w:p>
    <w:p>
      <w:pPr>
        <w:pStyle w:val="ListBullet"/>
      </w:pPr>
      <w:r>
        <w:t>Next quarterly earnings report (~60 days) — resolves revenue + margins + guidance; confirms or challenges</w:t>
      </w:r>
    </w:p>
    <w:p>
      <w:pPr>
        <w:pStyle w:val="ListBullet"/>
      </w:pPr>
      <w:r>
        <w:t>Resolution: Smart Kitchen technology will drive immediate SSS recovery in 2026 (Multi-year thesis -- patience required) — resolves Same-Store Sales Growth; confirms or challenges</w:t>
      </w:r>
    </w:p>
    <w:p>
      <w:pPr>
        <w:pStyle w:val="ListBullet"/>
      </w:pPr>
      <w:r>
        <w:t>Resolution: Consumer headwinds are temporary and will reverse in 2026 (Multi-year thesis -- patience required) — resolves Same-Store Sales Growth; confirms or challenges</w:t>
      </w:r>
    </w:p>
    <w:p>
      <w:pPr>
        <w:pStyle w:val="ListBullet"/>
      </w:pPr>
      <w:r>
        <w:t>Resolution: Analyst blind spot (Multi-year thesis -- patience required) — resolves general; confirms or challenges</w:t>
      </w:r>
    </w:p>
    <w:p>
      <w:pPr>
        <w:pStyle w:val="ListBullet"/>
      </w:pPr>
      <w:r>
        <w:t>Specific timeline for Smart Kitchen rollout completion and which markets/restaurants are still pendi (Unknown timing) — resolves multiple; resolves uncertainty</w:t>
      </w:r>
    </w:p>
    <w:p>
      <w:pPr>
        <w:pStyle w:val="ListBullet"/>
      </w:pPr>
      <w:r>
        <w:t>Quantified cannibalization impact from 15%+ unit growth on existing store performance (Unknown timing) — resolves multiple; resolves uncertainty</w:t>
      </w:r>
    </w:p>
    <w:p>
      <w:pPr>
        <w:pStyle w:val="SectionHeading"/>
      </w:pPr>
      <w:r>
        <w:t>5. Risks, Blind Spots &amp; Kill Criteria</w:t>
      </w:r>
    </w:p>
    <w:p>
      <w:pPr>
        <w:pStyle w:val="SubHeading"/>
      </w:pPr>
      <w:r>
        <w:t>Top risks:</w:t>
      </w:r>
    </w:p>
    <w:p>
      <w:pPr>
        <w:pStyle w:val="ListBullet"/>
      </w:pPr>
      <w:r>
        <w:t>Smart Kitchen technology will drive immediate SSS recovery in 2026 — counter: In the Q4 2025 call, management explicitly stated that restaurants 'begin seeing measurable improvements in guest scores following eight weeks of go-live and sustaining performance into a three- to six-month window from implementation.' Since most Smart Kitchen rollouts occurred throughout 2025, the majority won't hit the 3-6 month maturation window until mid-to-late 2026. [serious]</w:t>
      </w:r>
    </w:p>
    <w:p>
      <w:pPr>
        <w:pStyle w:val="ListBullet"/>
      </w:pPr>
      <w:r>
        <w:t>Analyst assumes -3% SSS in 2025 represents first decline in 22 years — counter: Filing shows FY2024 domestic SSS was +19.9% with FY2025 guidance of 'low-to-mid single digit' growth, not decline. The -3% figure appears to be analyst speculation not supported by actual guidance [serious]</w:t>
      </w:r>
    </w:p>
    <w:p>
      <w:pPr>
        <w:pStyle w:val="ListBullet"/>
      </w:pPr>
      <w:r>
        <w:t>Smart Kitchen technology rollout is a current debate point — counter: No mention of Smart Kitchen technology anywhere in the filing text provided - this may be outdated information or confusion with another concept [serious]</w:t>
      </w:r>
    </w:p>
    <w:p>
      <w:pPr>
        <w:pStyle w:val="SubHeading"/>
      </w:pPr>
      <w:r>
        <w:t>Blind spots (auditor-independent):</w:t>
      </w:r>
    </w:p>
    <w:p>
      <w:pPr>
        <w:pStyle w:val="ListBullet"/>
      </w:pPr>
      <w:r>
        <w:t>International expansion acceleration - 359 international units is 14% of total system, but international growth rates and economics likely differ significantly from domestic</w:t>
      </w:r>
    </w:p>
    <w:p>
      <w:pPr>
        <w:pStyle w:val="ListBullet"/>
      </w:pPr>
      <w:r>
        <w:t>Capital allocation shifts - company had 50 company-owned stores generating $119M in sales vs $457M in franchise fees/royalties, suggesting potential refranchising opportunity the analyst didn't model</w:t>
      </w:r>
    </w:p>
    <w:p>
      <w:pPr>
        <w:pStyle w:val="ListBullet"/>
      </w:pPr>
      <w:r>
        <w:t>Advertising fund dynamics - $224M in advertising fees represents 4.7% of system sales, above the stated 4% rate, suggesting rate increases or voluntary contributions the analyst missed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