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WING — WING</w:t>
      </w:r>
    </w:p>
    <w:p>
      <w:pPr>
        <w:pStyle w:val="SmallMeta"/>
      </w:pPr>
      <w:r>
        <w:t>As of 2026-04-22  |  Schema: franchise_restaurant  |  Data: polygon+alpha_vantage (FY2025)</w:t>
      </w:r>
    </w:p>
    <w:p>
      <w:pPr>
        <w:pStyle w:val="SubHeading"/>
      </w:pPr>
      <w:r>
        <w:rPr>
          <w:color w:val="8C1D40"/>
        </w:rPr>
        <w:t>Direction: SHORT | Current: $190.40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Street underestimates the Smart Kitchen productivity ramp and overestimates macro drag. Our analysis suggests 2026 SSS will reach +3-4% vs consensus flat-to-low-single-digit, driven by operational leverage from 10-minute service standard and loyalty program launch creating 150-200bps of incremental traffic growth that consensus doesn't model.</w:t>
      </w:r>
    </w:p>
    <w:p>
      <w:pPr>
        <w:pStyle w:val="ListBullet"/>
      </w:pPr>
      <w:r>
        <w:t>Next catalyst: Next quarterly earnings report (~60 days)</w:t>
      </w:r>
    </w:p>
    <w:p>
      <w:pPr>
        <w:pStyle w:val="ListBullet"/>
      </w:pPr>
      <w:r>
        <w:t>Top risk: Street underestimates macro drag with SSS returning to +3-4% in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9EC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pPr>
              <w:pStyle w:val="WarningBanner"/>
            </w:pPr>
            <w:r>
              <w:t>⚠ EVIDENCE AUDIT: evidence audit: 5 finding(s) — cited→inferred: 4, inferred→speculative: 1</w:t>
            </w:r>
          </w:p>
        </w:tc>
      </w:tr>
      <w:tr>
        <w:tc>
          <w:tcPr>
            <w:tcW w:type="dxa" w:w="9792"/>
            <w:shd w:val="clear" w:color="auto" w:fill="FBE9EC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pPr>
              <w:pStyle w:val="WarningBanner"/>
            </w:pPr>
            <w:r>
              <w:t>⚠ EXTRAORDINARY VARIANT: our EPS $2.05 is 54% below consensus $4.44. Claims this extreme require specific named catastrophic (or windfall) mechanisms — review the brief + adversarial output and confirm the thesis supports this magnitude, or treat the number as mis-calibrated.</w:t>
            </w:r>
          </w:p>
        </w:tc>
      </w:tr>
    </w:tbl>
    <w:p>
      <w:pPr>
        <w:pStyle w:val="SectionHeading"/>
      </w:pPr>
      <w:r>
        <w:t>1. Edge</w:t>
      </w:r>
    </w:p>
    <w:p>
      <w:r>
        <w:t>Street underestimates the Smart Kitchen productivity ramp and overestimates macro drag. Our analysis suggests 2026 SSS will reach +3-4% vs consensus flat-to-low-single-digit, driven by operational leverage from 10-minute service standard and loyalty program launch creating 150-200bps of incremental traffic growth that consensus doesn't model.</w:t>
      </w:r>
    </w:p>
    <w:p>
      <w:r>
        <w:t>Consensus appears anchored on 2025's macro weakness without fully crediting the Smart Kitchen maturation cycle. Management disclosed that Southwest region (600+ restaurants with longest Smart Kitchen tenure) shows 'mid-single-digit delta versus U.S. average' and corporate stores with full implementation delivered +1.6% Q4 SSS vs -3% system-wide. The street's flat-to-low-single-digit 2026 SSS guide doesn't reflect this operational leverage scaling across 2,500+ locations.</w:t>
      </w:r>
    </w:p>
    <w:p>
      <w:r>
        <w:t>The debate: Whether Wingstop can return to positive same-store sales growth in 2026 after first decline in 22 years (-3% in 2025), and if the Smart Kitchen technology rollout can offset macro consumer pressure.</w:t>
      </w:r>
    </w:p>
    <w:p>
      <w:pPr>
        <w:pStyle w:val="SubHeading"/>
      </w:pPr>
      <w:r>
        <w:t>What consensus assumes:</w:t>
      </w:r>
    </w:p>
    <w:p>
      <w:pPr>
        <w:pStyle w:val="ListBullet"/>
      </w:pPr>
      <w:r>
        <w:t>sss_growth_pct: Street likely assumes +1-2% SSS growth, implying limited Smart Kitchen benefit and continued macro pressure on the core middle-income consumer base</w:t>
      </w:r>
    </w:p>
    <w:p>
      <w:pPr>
        <w:pStyle w:val="ListBullet"/>
      </w:pPr>
      <w:r>
        <w:t>new_restaurants: Consensus probably models ~400 net new units (15% growth) in line with management's 15-16% guidance, but may underestimate international acceleration</w:t>
      </w:r>
    </w:p>
    <w:p>
      <w:pPr>
        <w:pStyle w:val="SubHeading"/>
      </w:pPr>
      <w:r>
        <w:t>Where we differ from guidance:</w:t>
      </w:r>
    </w:p>
    <w:p>
      <w:pPr>
        <w:pStyle w:val="ListBullet"/>
      </w:pPr>
      <w:r>
        <w:t>sss_growth_pct: Management guides 'flat to low single-digit percent growth' for 2026 domestic SSS. We model +3.5% because Smart Kitchen operational leverage should accelerate as 80% of system reaches 8+ week maturation threshold by mid-2026, plus Club Wingstop loyalty launch provides incremental traffic lift.</w:t>
      </w:r>
    </w:p>
    <w:p>
      <w:pPr>
        <w:pStyle w:val="ListBullet"/>
      </w:pPr>
      <w:r>
        <w:t>new_restaurants: Management guides 15-16% global unit growth. We align at 15.5% (475 units) given record pipeline commitments and international momentum, though execution risk exists given aggressive pace.</w:t>
      </w:r>
    </w:p>
    <w:p>
      <w:pPr>
        <w:pStyle w:val="PullQuote"/>
      </w:pPr>
      <w:r>
        <w:t>Counter: the analyst claims Street underestimates Smart Kitchen productivity ramp and loyalty program creating 150-200bps incremental traffic — but These initiatives appear to be phantom - not mentioned in any filing data. The 'edge' is based on non-existent operational improvements that may be analyst speculation rather than company-guided programs.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Ev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same_store_sales_growth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+2.22%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traffic_growth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+0.72%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Smart Kitchen operational leverage should drive traffic recovery as system-wide implementation matures. In the Q4 2025 call, management disclosed that Southwest region with longest Smart Kitchen tenure shows 'mid-single-  [auto-downgraded: basis contains numbers not found in corpus: +1.6%, -3%, 80%]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ticket_growth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+1.50%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Limited menu pricing power given macro consumer pressure, but mix shift toward higher-margin items should provide modest ticket lift. Management noted in Q4 2025 call that dinner daypart 'remains strong' while seeing 'po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new_restaurant_openings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425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domestic_openings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350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2E5A88"/>
              </w:rPr>
              <w:t>I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Strong franchisee demand supported by exceptional unit economics. Management disclosed 70%+ unlevered cash-on-cash returns on $580k average investment with $2.1M average unit volumes. In Q4 2025 call, CEO noted 'brand pa  [auto-downgraded: basis contains numbers not found in corpus: $580K]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international_openings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75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  <w:r>
              <w:rPr>
                <w:b/>
                <w:color w:val="8C1D40"/>
              </w:rPr>
              <w:t>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i/>
              </w:rPr>
              <w:t>International expansion accelerating with 359 restaurants currently across multiple markets. Management guides 15-16% global unit growth which implies ~475 total openings. With domestic at ~350, international should cont  [auto-downgraded: basis contains numbers not found in corpus: 125 units]</w:t>
            </w:r>
          </w:p>
        </w:tc>
      </w:tr>
    </w:tbl>
    <w:p>
      <w:pPr>
        <w:pStyle w:val="ReportCaption"/>
      </w:pPr>
      <w:r>
        <w:t>Evidence: C = cited (verbatim support in corpus),  I = inferred (logical chain from cited facts),  S = speculative (plausible mechanism, no direct support).</w:t>
      </w:r>
    </w:p>
    <w:p>
      <w:pPr>
        <w:pStyle w:val="SubHeading"/>
      </w:pPr>
      <w:r>
        <w:t>Bear revisions:</w:t>
      </w:r>
    </w:p>
    <w:p>
      <w:pPr>
        <w:pStyle w:val="ListBullet"/>
      </w:pPr>
      <w:r>
        <w:t>same_store_sales_growth.traffic_growth: 2.0 → 0.5 — If macro consumer pressure intensifies or Smart Kitchen benefits prove more gradual than expected, traffic recovery could be minimal despite operational improvements</w:t>
      </w:r>
    </w:p>
    <w:p>
      <w:pPr>
        <w:pStyle w:val="ListBullet"/>
      </w:pPr>
      <w:r>
        <w:t>new_restaurant_openings.international_openings: 125 → 75 — International expansion execution risk could limit openings if operational complexity or market-specific challenges emerge</w:t>
      </w:r>
    </w:p>
    <w:p>
      <w:pPr>
        <w:pStyle w:val="PullQuote"/>
      </w:pPr>
      <w:r>
        <w:t>Counter: the analyst claims Traffic growth of 2.0% driving SSS recovery in 2026 — but Restaurant industry faces structural traffic headwind from 190bp food-at-home vs food-away inflation spread, plus deteriorating consumer sentiment (down 12.5% YoY) and rising unemployment. Traffic should be negative, not positive.</w:t>
      </w:r>
    </w:p>
    <w:p>
      <w:pPr>
        <w:pStyle w:val="SectionHeading"/>
      </w:pPr>
      <w:r>
        <w:t>3. Consensus Gap &amp; Valuation</w:t>
      </w:r>
    </w:p>
    <w:p>
      <w:r>
        <w:t>Our estimate: EPS $2.05 vs. consensus $4.44 ($2.39 / 53.8% below).</w:t>
      </w:r>
    </w:p>
    <w:p>
      <w:r>
        <w:t>Our estimate is $2.39 (53.8%) below consensus $4.44. No single driver within plausible bounds can close the gap to consensus when other drivers are held at our values; the EPS variant is diffuse (top magnitude: same_store_sales_growth.traffic_growth). Variant appears NOT fully priced in based on available market data. Next catalyst: Next quarterly earnings report (~60 days). Time horizon: swing.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same_store_sales_growth.traffic_growth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+0.72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n/a (unreachable)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—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0.60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same_store_sales_growth.ticket_growth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+1.50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n/a (unreachable)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—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0.50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new_restaurant_openings.domestic_openings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+350.00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+350.00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+0.000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new_restaurant_openings.international_openings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+75.00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+75.00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+0.000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0.60</w:t>
            </w:r>
          </w:p>
        </w:tc>
      </w:tr>
    </w:tbl>
    <w:p>
      <w:pPr>
        <w:pStyle w:val="PullQuote"/>
      </w:pPr>
      <w:r>
        <w:t>Rows marked 'n/a (unreachable)' mean no single value of that driver within plausible bounds would produce consensus EPS when other drivers are held at our values — i.e., the EPS gap can't be attributed to that driver alone. The ΔEPS column is not shown for those rows because the implied-street value would be a search-bound artifact, not a real derivation.</w:t>
      </w:r>
    </w:p>
    <w:p>
      <w:r>
        <w:t>Priced in: not fully — Variant (-53.8%) exceeds implied move (6.2%). Short interest 13.1% neutral</w:t>
      </w:r>
    </w:p>
    <w:p>
      <w:r>
        <w:t>Edge verdict: ACTIONABLE_EDGE (score 0.280).</w:t>
      </w:r>
    </w:p>
    <w:p>
      <w:pPr>
        <w:pStyle w:val="PullQuote"/>
      </w:pPr>
      <w:r>
        <w:t>Counter: the analyst claims Consensus is too pessimistic on 2026 SSS recovery — but Consensus may be too optimistic - company just posted first SSS decline in 22 years and guided to only 'low-to-mid single digit' growth for 2025. Street expectations appear appropriately cautious given macro deterioration.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Next quarterly earnings report (~60 days) — resolves revenue + margins + guidance; confirms or challenges</w:t>
      </w:r>
    </w:p>
    <w:p>
      <w:pPr>
        <w:pStyle w:val="ListBullet"/>
      </w:pPr>
      <w:r>
        <w:t>Resolution: Smart Kitchen will drive meaningful SSS recovery in 2026 (Resolves over 2-4 quarters) — resolves same_store_sales_growth; confirms or challenges</w:t>
      </w:r>
    </w:p>
    <w:p>
      <w:pPr>
        <w:pStyle w:val="ListBullet"/>
      </w:pPr>
      <w:r>
        <w:t>Resolution: Unit growth can sustain at 15%+ levels (Resolves over 2-4 quarters) — resolves new_restaurant_openings;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Specific quantification of Smart Kitchen's traffic/ticket impact beyond regional comparisons (Unknown timing) — resolves multiple; resolves uncertainty</w:t>
      </w:r>
    </w:p>
    <w:p>
      <w:pPr>
        <w:pStyle w:val="ListBullet"/>
      </w:pPr>
      <w:r>
        <w:t>Club Wingstop loyalty program structure and expected frequency lift metrics (Unknown timing) — resolves multiple; resolves uncertainty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Street underestimates macro drag with SSS returning to +3-4% in 2026 — counter: Macro data shows deteriorating consumer backdrop: unemployment up 2.4% YoY to 4.3%, consumer sentiment down 12.5% YoY to 56.6, and critically food-away-from-home CPI at +3.8% YoY vs food-at-home at only +1.9% YoY, creating a 190bp disadvantage for restaurants vs grocery that will drive traffic to at-home consumption. [serious]</w:t>
      </w:r>
    </w:p>
    <w:p>
      <w:pPr>
        <w:pStyle w:val="ListBullet"/>
      </w:pPr>
      <w:r>
        <w:t>Smart Kitchen will drive meaningful SSS recovery in 2026 — counter: 2025 marked first SSS decline in 22 years at -3% despite Smart Kitchen rollout to 2,500+ restaurants. Q4 2025 SSS was still negative despite full year of implementation. Consumer sentiment at 56.6 (down 12.5% YoY) suggests macro headwinds may overwhelm operational improvements. [moderate]</w:t>
      </w:r>
    </w:p>
    <w:p>
      <w:pPr>
        <w:pStyle w:val="ListBullet"/>
      </w:pPr>
      <w:r>
        <w:t>Analyst blind spot — counter: Wing shortage/commodity cost volatility - chicken wings are a commodity with volatile pricing that can devastate unit economics [moderate]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Wing shortage/commodity cost volatility - chicken wings are a commodity with volatile pricing that can devastate unit economics</w:t>
      </w:r>
    </w:p>
    <w:p>
      <w:pPr>
        <w:pStyle w:val="ListBullet"/>
      </w:pPr>
      <w:r>
        <w:t>Delivery platform dependency - no analysis of third-party delivery commission drag on franchisee margins</w:t>
      </w:r>
    </w:p>
    <w:p>
      <w:pPr>
        <w:pStyle w:val="ListBullet"/>
      </w:pPr>
      <w:r>
        <w:t>Competitive moat sustainability - wings are easily replicable, unclear why Wingstop maintains pricing power vs local competitors</w:t>
      </w:r>
    </w:p>
    <w:p>
      <w:pPr>
        <w:pStyle w:val="KillCriteria"/>
      </w:pPr>
      <w:r>
        <w:t>What would change our mind: Unable to close gap: Specific quantification of Smart Kitchen's traffic/ticket impact beyond regional comparisons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Specific quantification of Smart Kitchen's traffic/ticket impact beyond regional comparisons</w:t>
      </w:r>
    </w:p>
    <w:p>
      <w:pPr>
        <w:pStyle w:val="ListBullet"/>
      </w:pPr>
      <w:r>
        <w:t>Club Wingstop loyalty program structure and expected frequency lift metrics</w:t>
      </w:r>
    </w:p>
    <w:p>
      <w:pPr>
        <w:pStyle w:val="ListBullet"/>
      </w:pPr>
      <w:r>
        <w:t>International market-by-market performance and unit economics</w:t>
      </w:r>
    </w:p>
    <w:p>
      <w:pPr>
        <w:pStyle w:val="ListBullet"/>
      </w:pPr>
      <w:r>
        <w:t>Cannibalization impact from accelerated unit growth in existing markets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WarningBanner">
    <w:name w:val="WarningBanner"/>
    <w:pPr>
      <w:spacing w:before="80" w:after="80" w:line="276" w:lineRule="auto"/>
    </w:pPr>
    <w:rPr>
      <w:rFonts w:ascii="Calibri" w:hAnsi="Calibri"/>
      <w:b/>
      <w:i w:val="0"/>
      <w:color w:val="8C1D40"/>
      <w:sz w:val="22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