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AAOI — AAOI</w:t>
      </w:r>
    </w:p>
    <w:p>
      <w:pPr>
        <w:pStyle w:val="SmallMeta"/>
      </w:pPr>
      <w:r>
        <w:t>As of 2026-05-05  |  Schema: general  |  Data: polygon+alpha_vantage (FY2025)</w:t>
      </w:r>
    </w:p>
    <w:p>
      <w:pPr>
        <w:pStyle w:val="SubHeading"/>
      </w:pPr>
      <w:r>
        <w:rPr>
          <w:color w:val="8C1D40"/>
        </w:rPr>
        <w:t>Direction: LONG | Current: $180.57</w:t>
      </w:r>
    </w:p>
    <w:p>
      <w:pPr>
        <w:pStyle w:val="SubHeading"/>
      </w:pPr>
      <w:r>
        <w:t>Summary</w:t>
      </w:r>
    </w:p>
    <w:p>
      <w:pPr>
        <w:pStyle w:val="ListBullet"/>
      </w:pPr>
      <w:r>
        <w:t>Thesis: Management's $1B FY2026 revenue guidance appears achievable but capacity-constrained at a lower level than consensus expects, while operating leverage assumptions embedded in street estimates underestimate the R&amp;D investment cycle required for next-generation products.</w:t>
      </w:r>
    </w:p>
    <w:p>
      <w:pPr>
        <w:pStyle w:val="ListBullet"/>
      </w:pPr>
      <w:r>
        <w:t>Next catalyst: Next quarterly earnings report (2026-05-07 (2 days))</w:t>
      </w:r>
    </w:p>
    <w:p>
      <w:pPr>
        <w:pStyle w:val="ListBullet"/>
      </w:pPr>
      <w:r>
        <w:t>Top risk: Management's $1B FY2026 revenue guidance appears achievable but capacity-constrained at a lower level than consensus expects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'consumer_electronics'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$-0.05</w:t>
            </w:r>
          </w:p>
        </w:tc>
        <w:tc>
          <w:tcPr>
            <w:tcW w:type="dxa" w:w="1399"/>
            <w:tcBorders>
              <w:top w:val="single" w:sz="4" w:color="BDC3C7"/>
              <w:bottom w:val="single" w:sz="4" w:color="BDC3C7"/>
              <w:left w:val="single" w:sz="4" w:color="BDC3C7"/>
              <w:right w:val="single" w:sz="4" w:color="BDC3C7"/>
            </w:tcBorders>
          </w:tcPr>
          <w:p>
            <w:r>
              <w:t>$-0.08 – $-0.03</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-141.7%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↑0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$0.07</w:t>
            </w:r>
          </w:p>
        </w:tc>
        <w:tc>
          <w:tcPr>
            <w:tcW w:type="dxa" w:w="1399"/>
            <w:tcBorders>
              <w:top w:val="single" w:sz="4" w:color="BDC3C7"/>
              <w:bottom w:val="single" w:sz="4" w:color="BDC3C7"/>
              <w:left w:val="single" w:sz="4" w:color="BDC3C7"/>
              <w:right w:val="single" w:sz="4" w:color="BDC3C7"/>
            </w:tcBorders>
          </w:tcPr>
          <w:p>
            <w:r>
              <w:t>$0.02 – $0.15</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+145.8%</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↑0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$0.81</w:t>
            </w:r>
          </w:p>
        </w:tc>
        <w:tc>
          <w:tcPr>
            <w:tcW w:type="dxa" w:w="1399"/>
            <w:tcBorders>
              <w:top w:val="single" w:sz="4" w:color="BDC3C7"/>
              <w:bottom w:val="single" w:sz="4" w:color="BDC3C7"/>
              <w:left w:val="single" w:sz="4" w:color="BDC3C7"/>
              <w:right w:val="single" w:sz="4" w:color="BDC3C7"/>
            </w:tcBorders>
          </w:tcPr>
          <w:p>
            <w:r>
              <w:t>$0.40 – $1.18</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+413.5%</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↑1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$3.20</w:t>
            </w:r>
          </w:p>
        </w:tc>
        <w:tc>
          <w:tcPr>
            <w:tcW w:type="dxa" w:w="1399"/>
            <w:tcBorders>
              <w:top w:val="single" w:sz="4" w:color="BDC3C7"/>
              <w:bottom w:val="single" w:sz="4" w:color="BDC3C7"/>
              <w:left w:val="single" w:sz="4" w:color="BDC3C7"/>
              <w:right w:val="single" w:sz="4" w:color="BDC3C7"/>
            </w:tcBorders>
          </w:tcPr>
          <w:p>
            <w:r>
              <w:t>$2.85 – $3.63</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+292.3%</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↑1 / ↓0</w:t>
            </w:r>
          </w:p>
        </w:tc>
      </w:tr>
    </w:tbl>
    <w:p>
      <w:r>
        <w:t>Revenue consensus: Q $0.15B (+55.0%)  |  Q+1 $0.19B (+87.1%)  |  FY $0.96B (+111.2%)  |  FY+1 $1.88B (+94.9%)</w:t>
      </w:r>
    </w:p>
    <w:p>
      <w:r>
        <w:t>Price targets: Mean $102.30  |  Median $72.50  |  Range $54.00–$190.00  |  Current $180.57 (-43.3% to mean)</w:t>
      </w:r>
    </w:p>
    <w:p>
      <w:r>
        <w:t>Analyst ratings (n=6): Strong Buy 2 · Buy 1 · Hold 3 · Sell 0 · Strong Sell 0  ·  50% bullish</w:t>
      </w:r>
    </w:p>
    <w:p>
      <w:r>
        <w:t>Next earnings: 2026-05-07 (2d out)  ·  EPS $-0.05 ($-0.08–$-0.03)  ·  Rev $0.15B</w:t>
      </w:r>
    </w:p>
    <w:p>
      <w:pPr>
        <w:pStyle w:val="SectionHeading"/>
      </w:pPr>
      <w:r>
        <w:t>1. Research Synthesis</w:t>
      </w:r>
    </w:p>
    <w:p>
      <w:r>
        <w:t>Applied Optoelectronics delivered a transformational 2025, with revenue increasing 83% to $456M driven by robust demand across both data center and CATV segments. The company's Q4 2025 results of $134M demonstrated the diversification strategy's effectiveness across both segments. Most significantly, management announced receiving their first 800G volume order from a major hyperscale customer to support AI data center growth, marking the transition from qualification phase to revenue materialization.</w:t>
      </w:r>
    </w:p>
    <w:p>
      <w:pPr>
        <w:pStyle w:val="ListBullet"/>
      </w:pPr>
      <w:r>
        <w:rPr>
          <w:i/>
        </w:rPr>
        <w:t>→ Research confirms: Applied Optoelectronics reported full-year 2025 revenue of $455.7M–$456M, up 82.8%–83% YoY, confirming the claim's revenue figure and growth rate. Both data center and CATV segments showed robust demand as stated. (ao-inc.com)</w:t>
      </w:r>
    </w:p>
    <w:p>
      <w:pPr>
        <w:pStyle w:val="ListBullet"/>
      </w:pPr>
      <w:r>
        <w:rPr>
          <w:i/>
        </w:rPr>
        <w:t>→ Research confirms: Management announced receiving first 800G volume order from major hyperscale customer on December 10, 2025, to support AI data center growth. Order totaled $4-8M in Q4 2025 revenue contribution, with subsequent March 2026 order of $53M and April 2026 upsized order of $71M. (ao-inc.com)</w:t>
      </w:r>
    </w:p>
    <w:p>
      <w:r>
        <w:t>The sequential trajectory analysis reveals strong momentum entering 2026. Q4 2025 revenue of $134.3M represented a 13.2% sequential increase from Q3's $119M, which compares favorably to the typical seasonal pattern for optical component suppliers. Management's confident tone shift from Q3's 'we continue to believe we will produce meaningful shipments of 800G products' to Q4's concrete announcement of 'we received our first 800G volume order' signals execution on their next-generation product roadmap. The AI positioning represents a new narrative element, with management explicitly connecting their 800G products to 'AI data center growth' for the first time.</w:t>
      </w:r>
    </w:p>
    <w:p>
      <w:pPr>
        <w:pStyle w:val="PullQuote"/>
      </w:pPr>
      <w:r>
        <w:t>Counter: the analyst claims Capacity constraints will limit revenue growth below consensus expectations — but Management is simultaneously guiding $1B revenue while announcing $300M in facility expansion and hiring 500 workers. Either they're delusional about capacity needs, or the capacity constraint thesis is wrong. The massive capex commitment suggests they believe they can scale to meet demand, making the 'capacity-constrained' edge case potentially obsolete before it matters.</w:t>
      </w:r>
    </w:p>
    <w:p>
      <w:r>
        <w:t>Management's FY2026 guidance of 'over $1 billion in revenue' with 'non-GAAP operating profit of over $120 million' represents a bold inflection point, implying 119%+ revenue growth and a swing from -$55M operating loss in FY2025 to $120M+ profit. However, the critical disclosure that 'this revenue level is limited by our production capacity and supply chain, not market demand' suggests the company is capacity-constrained rather than demand-constrained. This framing indicates management sees larger market opportunity than they can currently capture, but also caps near-term upside potential.</w:t>
      </w:r>
    </w:p>
    <w:p>
      <w:pPr>
        <w:pStyle w:val="ListBullet"/>
      </w:pPr>
      <w:r>
        <w:rPr>
          <w:i/>
        </w:rPr>
        <w:t>→ Research confirms: Management's FY2026 guidance of over $1 billion in revenue and non-GAAP operating profit above $120 million is directly confirmed by multiple sources including the company's Q4 2025 earnings filing on February 26, 2026. (fool.com)</w:t>
      </w:r>
    </w:p>
    <w:p>
      <w:r>
        <w:t>The operating leverage assumptions embedded in street estimates appear aggressive when reconciled against management's guided expense trajectory. CFO Stefan Murry guided Q1 2026 operating expenses of '$50 million to $57 million per quarter,' representing a sequential decrease from Q4 2025's implied operating expenses of $146M (revenue of $134M minus operating loss of $12M). Annualizing the midpoint ($53.5M × 4 = $214M) against management's $120M+ operating profit guide implies gross profit of $334M+ on $1B+ revenue, suggesting gross margins of 33%+. This compares to Q4 2025's 31.2% gross margin, indicating management expects meaningful margin expansion from product mix shift toward higher-speed transceivers.</w:t>
      </w:r>
    </w:p>
    <w:p>
      <w:r>
        <w:t>The guidance beat history provides context for management credibility. Over the last three quarters, management delivered revenue results consistently in line with guidance ranges: Q2 2025 actual $103M vs. guide $100-110M, Q3 2025 actual $119M vs. guide $115-127M, and Q4 2025 actual $134M vs. guide $125-140M. The one miss occurred in Q2 2025 EPS, where management guided a loss of 9-3 cents but delivered a loss of 16 cents due to higher R&amp;D spending for 800G qualification efforts. This pattern suggests revenue guidance reliability but potential for continued opex investment volatility.</w:t>
      </w:r>
    </w:p>
    <w:p>
      <w:r>
        <w:t>The recent $20.85M Texas Semiconductor Innovation Fund grant for Sugar Land facility expansion provides concrete evidence of capacity building efforts. The grant supports a new 266,000-square-foot facility and manufacturing line, addressing the production constraints management cited. However, the timing of capacity additions relative to demand trajectory creates execution risk, particularly given management's acknowledgment that Q2-Q3 2026 will be 'limited by our capacity' rather than demand.</w:t>
      </w:r>
    </w:p>
    <w:p>
      <w:pPr>
        <w:pStyle w:val="ListBullet"/>
      </w:pPr>
      <w:r>
        <w:rPr>
          <w:i/>
        </w:rPr>
        <w:t>→ Research confirms: Applied Optoelectronics received a $20,852,518 Texas Semiconductor Innovation Fund grant (announced April 29, 2026) for Sugar Land facility expansion, directly supporting capacity building with 210,000 sq ft new facility and 500 jobs. (texas.gov)</w:t>
      </w:r>
    </w:p>
    <w:p>
      <w:r>
        <w:t>Peer context from the consumer electronics sector shows AAOI trading at a significant premium to traditional hardware manufacturers, with consensus FY2026 P/E estimates implying substantial multiple expansion. The company's transition from loss-making to profitable operations, combined with AI infrastructure positioning, supports premium valuation but creates execution risk if capacity ramp disappoints. The recent insider selling activity, including director Elizabeth Loboa's $9.93M sale (83.8% of her stake) and multiple executive sales totaling over $25M in the past six months, suggests some profit-taking at current valuation levels.</w:t>
      </w:r>
    </w:p>
    <w:p>
      <w:pPr>
        <w:pStyle w:val="ListBullet"/>
      </w:pPr>
      <w:r>
        <w:rPr>
          <w:i/>
        </w:rPr>
        <w:t>→ Research [UPDATES]: Elizabeth Loboa's sale confirmed at ~$9.8M (102,347 shares at $95.76/share on March 3, 2026), representing 83.3% stake reduction. Multiple executive sales totaling ~$29.8M over 90 days confirmed, but timeframe is 90 days (not 6 months as claimed). (marketbeat.com)</w:t>
      </w:r>
    </w:p>
    <w:p>
      <w:pPr>
        <w:pStyle w:val="ListBullet"/>
      </w:pPr>
      <w:r>
        <w:rPr>
          <w:i/>
        </w:rPr>
        <w:t>→ Research: Significant institutional ownership changes documented in recent 13F filings: 188 institutional investors added shares in Q4 2025 (including Invesco +5208.9%, T. Rowe Price +5321.6%, Jane Street +4312.8%), while 84 decreased positions. Stock rose 447.92% year-over-year through March 2026, with institutional ownership at 56-68% of float. (quiverquant.com)</w:t>
      </w:r>
    </w:p>
    <w:p>
      <w:r>
        <w:t>The bear thesis centers on capacity execution risk and competitive dynamics. Short-seller reports from Citron Research and Culper Research have questioned the sustainability of the rally and highlighted potential overstatement of 800G progress, though management's announcement of actual volume orders addresses some qualification timeline concerns. The key risk is whether manufacturing expansion can keep pace with demand, particularly as hyperscale customers increasingly prioritize supply chain reliability for critical AI infrastructure deployments.</w:t>
      </w:r>
    </w:p>
    <w:p>
      <w:pPr>
        <w:pStyle w:val="ListBullet"/>
      </w:pPr>
      <w:r>
        <w:rPr>
          <w:i/>
        </w:rPr>
        <w:t>→ Research: Search confirms AOI faces direct competition from Lumentum and Coherent in 800G market, but reveals deeper competitive landscape: Innolight dominates with 50%+ NVIDIA wallet share and 80% of Google's 800G+ orders in 2026; Chinese rivals Innolight and Eoptolink control ~60% of NVIDIA's incremental 800G orders. AOI's vertical integration and U.S. manufacturing provide differentiation but market is h (fierce-network.com)</w:t>
      </w:r>
    </w:p>
    <w:p>
      <w:pPr>
        <w:pStyle w:val="ListBullet"/>
      </w:pPr>
      <w:r>
        <w:rPr>
          <w:i/>
        </w:rPr>
        <w:t>→ Research confirms: Both Citron Research (April 10, 2026) and Culper Research (February 4, 2025) issued short reports on Applied Optoelectronics questioning the sustainability of the stock's rally. Citron warned the valuation was disconnected from fundamentals; Culper alleged misrepresentation of 800G production capabilities. (investing.com)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$-0.05</w:t>
            </w:r>
          </w:p>
        </w:tc>
        <w:tc>
          <w:tcPr>
            <w:tcW w:type="dxa" w:w="3264"/>
            <w:tcBorders>
              <w:top w:val="single" w:sz="4" w:color="BDC3C7"/>
              <w:bottom w:val="single" w:sz="4" w:color="BDC3C7"/>
              <w:left w:val="single" w:sz="4" w:color="BDC3C7"/>
              <w:right w:val="single" w:sz="4" w:color="BDC3C7"/>
            </w:tcBorders>
          </w:tcPr>
          <w:p>
            <w:r>
              <w:t>$155M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$0.07</w:t>
            </w:r>
          </w:p>
        </w:tc>
        <w:tc>
          <w:tcPr>
            <w:tcW w:type="dxa" w:w="3264"/>
            <w:tcBorders>
              <w:top w:val="single" w:sz="4" w:color="BDC3C7"/>
              <w:bottom w:val="single" w:sz="4" w:color="BDC3C7"/>
              <w:left w:val="single" w:sz="4" w:color="BDC3C7"/>
              <w:right w:val="single" w:sz="4" w:color="BDC3C7"/>
            </w:tcBorders>
          </w:tcPr>
          <w:p>
            <w:r>
              <w:t>$193M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$0.81</w:t>
            </w:r>
          </w:p>
        </w:tc>
        <w:tc>
          <w:tcPr>
            <w:tcW w:type="dxa" w:w="3264"/>
            <w:tcBorders>
              <w:top w:val="single" w:sz="4" w:color="BDC3C7"/>
              <w:bottom w:val="single" w:sz="4" w:color="BDC3C7"/>
              <w:left w:val="single" w:sz="4" w:color="BDC3C7"/>
              <w:right w:val="single" w:sz="4" w:color="BDC3C7"/>
            </w:tcBorders>
          </w:tcPr>
          <w:p>
            <w:r>
              <w:t>$962M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$3.20</w:t>
            </w:r>
          </w:p>
        </w:tc>
        <w:tc>
          <w:tcPr>
            <w:tcW w:type="dxa" w:w="3264"/>
            <w:tcBorders>
              <w:top w:val="single" w:sz="4" w:color="BDC3C7"/>
              <w:bottom w:val="single" w:sz="4" w:color="BDC3C7"/>
              <w:left w:val="single" w:sz="4" w:color="BDC3C7"/>
              <w:right w:val="single" w:sz="4" w:color="BDC3C7"/>
            </w:tcBorders>
          </w:tcPr>
          <w:p>
            <w:r>
              <w:t>$1,876M</w:t>
            </w:r>
          </w:p>
        </w:tc>
      </w:tr>
    </w:tbl>
    <w:p>
      <w:pPr>
        <w:pStyle w:val="SubHeading"/>
      </w:pPr>
      <w:r>
        <w:t>Management guidance:</w:t>
      </w:r>
    </w:p>
    <w:p>
      <w:pPr>
        <w:pStyle w:val="ListBullet"/>
      </w:pPr>
      <w:r>
        <w:t>Revenue (FY2026): we expect to generate over $1 billion in revenue this year  — Q4 2025, call, CFO</w:t>
      </w:r>
    </w:p>
    <w:p>
      <w:pPr>
        <w:pStyle w:val="ListBullet"/>
      </w:pPr>
      <w:r>
        <w:t>Operating Margin (FY2026): non-GAAP operating profit of over $120 million  — Q4 2025, call, CFO</w:t>
      </w:r>
    </w:p>
    <w:p>
      <w:pPr>
        <w:pStyle w:val="ListBullet"/>
      </w:pPr>
      <w:r>
        <w:t>Operating Expenses (Q1 2026): $50 million to $57 million per quarter  — Q4 2025,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$962M</w:t>
            </w:r>
          </w:p>
        </w:tc>
        <w:tc>
          <w:tcPr>
            <w:tcW w:type="dxa" w:w="1632"/>
            <w:tcBorders>
              <w:top w:val="single" w:sz="4" w:color="BDC3C7"/>
              <w:bottom w:val="single" w:sz="4" w:color="BDC3C7"/>
              <w:left w:val="single" w:sz="4" w:color="BDC3C7"/>
              <w:right w:val="single" w:sz="4" w:color="BDC3C7"/>
            </w:tcBorders>
          </w:tcPr>
          <w:p>
            <w:r>
              <w:t>$920M</w:t>
            </w:r>
          </w:p>
        </w:tc>
        <w:tc>
          <w:tcPr>
            <w:tcW w:type="dxa" w:w="1632"/>
            <w:tcBorders>
              <w:top w:val="single" w:sz="4" w:color="BDC3C7"/>
              <w:bottom w:val="single" w:sz="4" w:color="BDC3C7"/>
              <w:left w:val="single" w:sz="4" w:color="BDC3C7"/>
              <w:right w:val="single" w:sz="4" w:color="BDC3C7"/>
            </w:tcBorders>
          </w:tcPr>
          <w:p>
            <w:r>
              <w:t>-0.35</w:t>
            </w:r>
          </w:p>
        </w:tc>
        <w:tc>
          <w:tcPr>
            <w:tcW w:type="dxa" w:w="1632"/>
            <w:tcBorders>
              <w:top w:val="single" w:sz="4" w:color="BDC3C7"/>
              <w:bottom w:val="single" w:sz="4" w:color="BDC3C7"/>
              <w:left w:val="single" w:sz="4" w:color="BDC3C7"/>
              <w:right w:val="single" w:sz="4" w:color="BDC3C7"/>
            </w:tcBorders>
          </w:tcPr>
          <w:p>
            <w:r>
              <w:t>interpretation</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+81.0%</w:t>
            </w:r>
          </w:p>
        </w:tc>
        <w:tc>
          <w:tcPr>
            <w:tcW w:type="dxa" w:w="1632"/>
            <w:tcBorders>
              <w:top w:val="single" w:sz="4" w:color="BDC3C7"/>
              <w:bottom w:val="single" w:sz="4" w:color="BDC3C7"/>
              <w:left w:val="single" w:sz="4" w:color="BDC3C7"/>
              <w:right w:val="single" w:sz="4" w:color="BDC3C7"/>
            </w:tcBorders>
          </w:tcPr>
          <w:p>
            <w:r>
              <w:t>+65.0%</w:t>
            </w:r>
          </w:p>
        </w:tc>
        <w:tc>
          <w:tcPr>
            <w:tcW w:type="dxa" w:w="1632"/>
            <w:tcBorders>
              <w:top w:val="single" w:sz="4" w:color="BDC3C7"/>
              <w:bottom w:val="single" w:sz="4" w:color="BDC3C7"/>
              <w:left w:val="single" w:sz="4" w:color="BDC3C7"/>
              <w:right w:val="single" w:sz="4" w:color="BDC3C7"/>
            </w:tcBorders>
          </w:tcPr>
          <w:p>
            <w:r>
              <w:t>-0.16</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consensus_fy_revenue</w:t>
      </w:r>
    </w:p>
    <w:p>
      <w:r>
        <w:t>Management's explicit capacity constraint disclosure suggests revenue ceiling below consensus expectations despite strong demand environment</w:t>
      </w:r>
    </w:p>
    <w:p>
      <w:r>
        <w:t>Street anchor: $962M (yfinance consensus) → Our view: $920M</w:t>
      </w:r>
    </w:p>
    <w:p>
      <w:pPr>
        <w:pStyle w:val="PullQuote"/>
      </w:pPr>
      <w:r>
        <w:t>“This revenue level is limited by our production capacity and supply chain, not market demand, which we believe is much larger”  (transcript)</w:t>
      </w:r>
    </w:p>
    <w:p>
      <w:r>
        <w:t>Why not consensus: Street analysts focused on management's $1B+ guidance headline without fully weighting the capacity constraint qualifier that limits upside potential</w:t>
      </w:r>
    </w:p>
    <w:p>
      <w:pPr>
        <w:pStyle w:val="KillCriteria"/>
      </w:pPr>
      <w:r>
        <w:t>Falsifier: If Q1 2026 revenue exceeds $250M and management raises full-year guidance above $1B</w:t>
      </w:r>
    </w:p>
    <w:p>
      <w:pPr>
        <w:pStyle w:val="SubHeading"/>
      </w:pPr>
      <w:r>
        <w:t>Claim 2 — consensus_fy_eps</w:t>
      </w:r>
    </w:p>
    <w:p>
      <w:r>
        <w:t>Consensus underestimates continued R&amp;D investment required for 1.6T product development cycle based on management's opex guidance trajectory</w:t>
      </w:r>
    </w:p>
    <w:p>
      <w:r>
        <w:t>Street anchor: +81.0% (yfinance consensus) → Our view: +65.0%</w:t>
      </w:r>
    </w:p>
    <w:p>
      <w:pPr>
        <w:pStyle w:val="PullQuote"/>
      </w:pPr>
      <w:r>
        <w:t>“Looking ahead, we expect non-GAAP operating expenses to be in the range of $50 million to $57 million per quarter”  (transcript)</w:t>
      </w:r>
    </w:p>
    <w:p>
      <w:r>
        <w:t>Why not consensus: Street models aggressive operating leverage without reconciling against management's specific quarterly opex guidance range</w:t>
      </w:r>
    </w:p>
    <w:p>
      <w:pPr>
        <w:pStyle w:val="KillCriteria"/>
      </w:pPr>
      <w:r>
        <w:t>Falsifier: If Q1 2026 opex comes in below $50M or management lowers opex guidance</w:t>
      </w:r>
    </w:p>
    <w:p>
      <w:r>
        <w:t>Management tone shift in Q2 2025→Q3 2025: quarterly performance assessment: upgrade — Management shifted from missing expectations to meeting them, signaling improved execution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+86.25%</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data_center_segment_growth</w:t>
            </w:r>
          </w:p>
        </w:tc>
        <w:tc>
          <w:tcPr>
            <w:tcW w:type="dxa" w:w="2448"/>
            <w:tcBorders>
              <w:top w:val="single" w:sz="4" w:color="BDC3C7"/>
              <w:bottom w:val="single" w:sz="4" w:color="BDC3C7"/>
              <w:left w:val="single" w:sz="4" w:color="BDC3C7"/>
              <w:right w:val="single" w:sz="4" w:color="BDC3C7"/>
            </w:tcBorders>
          </w:tcPr>
          <w:p>
            <w:r>
              <w:t>+67.26%</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call, management announced 'we received our first 800G volume order from one of our major hyperscale customers to support its AI data center growth.' Data center revenue grew 32% in 2025 to $196M, with 800</w:t>
            </w:r>
          </w:p>
        </w:tc>
      </w:tr>
      <w:tr>
        <w:tc>
          <w:tcPr>
            <w:tcW w:type="dxa" w:w="2448"/>
            <w:tcBorders>
              <w:top w:val="single" w:sz="4" w:color="BDC3C7"/>
              <w:bottom w:val="single" w:sz="4" w:color="BDC3C7"/>
              <w:left w:val="single" w:sz="4" w:color="BDC3C7"/>
              <w:right w:val="single" w:sz="4" w:color="BDC3C7"/>
            </w:tcBorders>
          </w:tcPr>
          <w:p>
            <w:r>
              <w:t xml:space="preserve">    catv_segment_growth</w:t>
            </w:r>
          </w:p>
        </w:tc>
        <w:tc>
          <w:tcPr>
            <w:tcW w:type="dxa" w:w="2448"/>
            <w:tcBorders>
              <w:top w:val="single" w:sz="4" w:color="BDC3C7"/>
              <w:bottom w:val="single" w:sz="4" w:color="BDC3C7"/>
              <w:left w:val="single" w:sz="4" w:color="BDC3C7"/>
              <w:right w:val="single" w:sz="4" w:color="BDC3C7"/>
            </w:tcBorders>
          </w:tcPr>
          <w:p>
            <w:r>
              <w:t>+35.61%</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CATV revenue nearly tripled in 2025 to $245M driven by 1.8 GHz amplifier demand. In Q4 2025, CFO stated 'we shipped a significant quantity of 1.8 GHz amplifiers to our largest CATV customer in Q4, and demand continues to</w:t>
            </w:r>
          </w:p>
        </w:tc>
      </w:tr>
      <w:tr>
        <w:tc>
          <w:tcPr>
            <w:tcW w:type="dxa" w:w="2448"/>
            <w:tcBorders>
              <w:top w:val="single" w:sz="4" w:color="BDC3C7"/>
              <w:bottom w:val="single" w:sz="4" w:color="BDC3C7"/>
              <w:left w:val="single" w:sz="4" w:color="BDC3C7"/>
              <w:right w:val="single" w:sz="4" w:color="BDC3C7"/>
            </w:tcBorders>
          </w:tcPr>
          <w:p>
            <w:r>
              <w:t xml:space="preserve">    capacity_constraint_impact</w:t>
            </w:r>
          </w:p>
        </w:tc>
        <w:tc>
          <w:tcPr>
            <w:tcW w:type="dxa" w:w="2448"/>
            <w:tcBorders>
              <w:top w:val="single" w:sz="4" w:color="BDC3C7"/>
              <w:bottom w:val="single" w:sz="4" w:color="BDC3C7"/>
              <w:left w:val="single" w:sz="4" w:color="BDC3C7"/>
              <w:right w:val="single" w:sz="4" w:color="BDC3C7"/>
            </w:tcBorders>
          </w:tcPr>
          <w:p>
            <w:r>
              <w:t>-16.62%</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Management explicitly disclosed 'This revenue level is limited by our production capacity and supply chain, not market demand, which we believe is much larger.' The $20.85M Texas grant for facility expansion indicates ca</w:t>
            </w:r>
          </w:p>
        </w:tc>
      </w:tr>
    </w:tbl>
    <w:p>
      <w:pPr>
        <w:pStyle w:val="SubHeading"/>
      </w:pPr>
      <w:r>
        <w:t>Bear revisions:</w:t>
      </w:r>
    </w:p>
    <w:p>
      <w:pPr>
        <w:pStyle w:val="ListBullet"/>
      </w:pPr>
      <w:r>
        <w:t>revenue_growth.capacity_constraint_impact: -11.87 → -25.0 — If facility expansion delays or supply chain disruptions worsen, capacity constraints could more severely limit revenue achievement despite strong end-market demand</w:t>
      </w:r>
    </w:p>
    <w:p>
      <w:pPr>
        <w:pStyle w:val="SubHeading"/>
      </w:pPr>
      <w:r>
        <w:t>Comp decomposition check:</w:t>
      </w:r>
    </w:p>
    <w:p>
      <w:pPr>
        <w:pStyle w:val="ListBullet"/>
      </w:pPr>
      <w:r>
        <w:t>Schema mismatch: peer comps fit 'consumer_electronics'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SectionHeading"/>
      </w:pPr>
      <w:r>
        <w:t>3. Consensus Gap &amp; Valuation</w:t>
      </w:r>
    </w:p>
    <w:p>
      <w:r>
        <w:t>Our EPS: $0.65  =  baseline $0.81  +  Σ claim impacts $-0.16 (19.6% below consensus $0.81)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$0.81</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+81.0% → +65.0% (Δ -16.0%)</w:t>
            </w:r>
          </w:p>
        </w:tc>
        <w:tc>
          <w:tcPr>
            <w:tcW w:type="dxa" w:w="2448"/>
            <w:tcBorders>
              <w:top w:val="single" w:sz="4" w:color="BDC3C7"/>
              <w:bottom w:val="single" w:sz="4" w:color="BDC3C7"/>
              <w:left w:val="single" w:sz="4" w:color="BDC3C7"/>
              <w:right w:val="single" w:sz="4" w:color="BDC3C7"/>
            </w:tcBorders>
          </w:tcPr>
          <w:p>
            <w:r>
              <w:t>Direct EPS delta: $-0.16/share</w:t>
            </w:r>
          </w:p>
        </w:tc>
        <w:tc>
          <w:tcPr>
            <w:tcW w:type="dxa" w:w="2448"/>
            <w:tcBorders>
              <w:top w:val="single" w:sz="4" w:color="BDC3C7"/>
              <w:bottom w:val="single" w:sz="4" w:color="BDC3C7"/>
              <w:left w:val="single" w:sz="4" w:color="BDC3C7"/>
              <w:right w:val="single" w:sz="4" w:color="BDC3C7"/>
            </w:tcBorders>
          </w:tcPr>
          <w:p>
            <w:r>
              <w:t>-0.16</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$962M → $920M (Δ $-42M)</w:t>
            </w:r>
          </w:p>
        </w:tc>
        <w:tc>
          <w:tcPr>
            <w:tcW w:type="dxa" w:w="2448"/>
            <w:tcBorders>
              <w:top w:val="single" w:sz="4" w:color="BDC3C7"/>
              <w:bottom w:val="single" w:sz="4" w:color="BDC3C7"/>
              <w:left w:val="single" w:sz="4" w:color="BDC3C7"/>
              <w:right w:val="single" w:sz="4" w:color="BDC3C7"/>
            </w:tcBorders>
          </w:tcPr>
          <w:p>
            <w:r>
              <w:t>(supporting view, not summed: same disagreement as 'consensus_fy_eps' through different metric lens) Revenue Δ $-42M × 1</w:t>
            </w:r>
          </w:p>
        </w:tc>
        <w:tc>
          <w:tcPr>
            <w:tcW w:type="dxa" w:w="2448"/>
            <w:tcBorders>
              <w:top w:val="single" w:sz="4" w:color="BDC3C7"/>
              <w:bottom w:val="single" w:sz="4" w:color="BDC3C7"/>
              <w:left w:val="single" w:sz="4" w:color="BDC3C7"/>
              <w:right w:val="single" w:sz="4" w:color="BDC3C7"/>
            </w:tcBorders>
          </w:tcPr>
          <w:p>
            <w:r>
              <w:t>+0.00  ⚠ Claude said -0.35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-0.16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$0.65</w:t>
            </w:r>
          </w:p>
        </w:tc>
      </w:tr>
    </w:tbl>
    <w:p>
      <w:pPr>
        <w:pStyle w:val="PullQuote"/>
      </w:pPr>
      <w:r>
        <w:t xml:space="preserve">  ⚠ Mechanically-overlapping claim deduplicated: 'consensus_fy_revenue' overlaps with selected 'consensus_fy_eps'; only the more comprehensive claim is summed into our_eps.</w:t>
      </w:r>
    </w:p>
    <w:p>
      <w:r>
        <w:t>Our estimate is $0.16 (19.6%) below consensus $0.81. Primary driver: revenue_growth.catv_segment_growth (ours +35.6 vs street +7.3, contributing $+0.565 to EPS variant, evidence: moderate). Variant appears NOT fully priced in based on available market data. Next catalyst: Next quarterly earnings report (2026-05-07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revenue_growth.catv_segment_growth</w:t>
            </w:r>
          </w:p>
        </w:tc>
        <w:tc>
          <w:tcPr>
            <w:tcW w:type="dxa" w:w="1958"/>
            <w:tcBorders>
              <w:top w:val="single" w:sz="4" w:color="BDC3C7"/>
              <w:bottom w:val="single" w:sz="4" w:color="BDC3C7"/>
              <w:left w:val="single" w:sz="4" w:color="BDC3C7"/>
              <w:right w:val="single" w:sz="4" w:color="BDC3C7"/>
            </w:tcBorders>
          </w:tcPr>
          <w:p>
            <w:r>
              <w:t>+35.61</w:t>
            </w:r>
          </w:p>
        </w:tc>
        <w:tc>
          <w:tcPr>
            <w:tcW w:type="dxa" w:w="1958"/>
            <w:tcBorders>
              <w:top w:val="single" w:sz="4" w:color="BDC3C7"/>
              <w:bottom w:val="single" w:sz="4" w:color="BDC3C7"/>
              <w:left w:val="single" w:sz="4" w:color="BDC3C7"/>
              <w:right w:val="single" w:sz="4" w:color="BDC3C7"/>
            </w:tcBorders>
          </w:tcPr>
          <w:p>
            <w:r>
              <w:t>+7.34</w:t>
            </w:r>
          </w:p>
        </w:tc>
        <w:tc>
          <w:tcPr>
            <w:tcW w:type="dxa" w:w="1958"/>
            <w:tcBorders>
              <w:top w:val="single" w:sz="4" w:color="BDC3C7"/>
              <w:bottom w:val="single" w:sz="4" w:color="BDC3C7"/>
              <w:left w:val="single" w:sz="4" w:color="BDC3C7"/>
              <w:right w:val="single" w:sz="4" w:color="BDC3C7"/>
            </w:tcBorders>
          </w:tcPr>
          <w:p>
            <w:r>
              <w:t>+0.565</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revenue_growth.data_center_segment_growth</w:t>
            </w:r>
          </w:p>
        </w:tc>
        <w:tc>
          <w:tcPr>
            <w:tcW w:type="dxa" w:w="1958"/>
            <w:tcBorders>
              <w:top w:val="single" w:sz="4" w:color="BDC3C7"/>
              <w:bottom w:val="single" w:sz="4" w:color="BDC3C7"/>
              <w:left w:val="single" w:sz="4" w:color="BDC3C7"/>
              <w:right w:val="single" w:sz="4" w:color="BDC3C7"/>
            </w:tcBorders>
          </w:tcPr>
          <w:p>
            <w:r>
              <w:t>+67.26</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revenue_growth.capacity_constraint_impact</w:t>
            </w:r>
          </w:p>
        </w:tc>
        <w:tc>
          <w:tcPr>
            <w:tcW w:type="dxa" w:w="1958"/>
            <w:tcBorders>
              <w:top w:val="single" w:sz="4" w:color="BDC3C7"/>
              <w:bottom w:val="single" w:sz="4" w:color="BDC3C7"/>
              <w:left w:val="single" w:sz="4" w:color="BDC3C7"/>
              <w:right w:val="single" w:sz="4" w:color="BDC3C7"/>
            </w:tcBorders>
          </w:tcPr>
          <w:p>
            <w:r>
              <w:t>-16.62</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(-19.6%) exceeds implied move (19.5%). Short interest 13.1% neutral</w:t>
      </w:r>
    </w:p>
    <w:p>
      <w:r>
        <w:t>Edge verdict: ACTIONABLE_EDGE (score 0.242).</w:t>
      </w:r>
    </w:p>
    <w:p>
      <w:pPr>
        <w:pStyle w:val="PullQuote"/>
      </w:pPr>
      <w:r>
        <w:t>Counter: the analyst claims Street estimates underestimate R&amp;D investment cycle requirements — but Management's own OpEx guidance of $50-57M per quarter for Q1 2026 vs $48-50M in Q4 2025 suggests they don't see massive R&amp;D step-ups coming. If next-gen product development required significant investment cycles, management would signal this in OpEx guidance. The modest 4-14% increase contradicts the thesis.</w:t>
      </w:r>
    </w:p>
    <w:p>
      <w:pPr>
        <w:pStyle w:val="SectionHeading"/>
      </w:pPr>
      <w:r>
        <w:t>4. Catalysts</w:t>
      </w:r>
    </w:p>
    <w:p>
      <w:pPr>
        <w:pStyle w:val="ListBullet"/>
      </w:pPr>
      <w:r>
        <w:t>Next quarterly earnings report (2026-05-07 (2 days)) — resolves revenue + margins + guidance; confirms or challenges</w:t>
      </w:r>
    </w:p>
    <w:p>
      <w:pPr>
        <w:pStyle w:val="ListBullet"/>
      </w:pPr>
      <w:r>
        <w:t>Resolution: AAOI can achieve consensus $962M revenue with strong operating leverage (Resolves at earnings (2026-05-07))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timing of new facility ramp and production capacity additions (Unknown timing) — resolves multiple; resolves uncertainty</w:t>
      </w:r>
    </w:p>
    <w:p>
      <w:pPr>
        <w:pStyle w:val="ListBullet"/>
      </w:pPr>
      <w:r>
        <w:t>Competitive response from LITE and other optical component suppliers (Unknown timing) — resolves multiple; resolves uncertainty</w:t>
      </w:r>
    </w:p>
    <w:p>
      <w:pPr>
        <w:pStyle w:val="SectionHeading"/>
      </w:pPr>
      <w:r>
        <w:t>5. Risks, Blind Spots &amp; Kill Criteria</w:t>
      </w:r>
    </w:p>
    <w:p>
      <w:pPr>
        <w:pStyle w:val="SubHeading"/>
      </w:pPr>
      <w:r>
        <w:t>Top risks:</w:t>
      </w:r>
    </w:p>
    <w:p>
      <w:pPr>
        <w:pStyle w:val="ListBullet"/>
      </w:pPr>
      <w:r>
        <w:t>Management's $1B FY2026 revenue guidance appears achievable but capacity-constrained at a lower level than consensus expects — counter: According to press releases, AAOI is breaking ground on a 210,000 sq ft facility in Sugar Land with plans to increase investment from $150M to potentially $300M by end of next year, creating 500 local jobs. Additionally, they received a $20.85M Texas grant for a new 266,000 sq ft facility expansion. This suggests management is aggressively expanding capacity to meet the $1B target, contradicting the analyst's capacity constraint thesis. [serious]</w:t>
      </w:r>
    </w:p>
    <w:p>
      <w:pPr>
        <w:pStyle w:val="ListBullet"/>
      </w:pPr>
      <w:r>
        <w:t>Operating leverage assumptions embedded in street estimates underestimate the R&amp;D investment cycle required for next-generation products — counter: Guidance tracker shows operating expenses guided to increase from $48-50M per quarter in Q4 2025 to $50-57M per quarter in Q1 2026 - only a modest 4-14% increase despite massive revenue growth expectations. If R&amp;D investment cycle was underestimated, management would guide much higher OpEx increases. [serious]</w:t>
      </w:r>
    </w:p>
    <w:p>
      <w:pPr>
        <w:pStyle w:val="ListBullet"/>
      </w:pPr>
      <w:r>
        <w:t>AAOI can achieve consensus $962M revenue with strong operating leverage — counter: Management guided quarterly opex of $50-57M ($200-228M annually) while stating revenue is 'limited by production capacity and supply chain, not market demand' [moderate]</w:t>
      </w:r>
    </w:p>
    <w:p>
      <w:pPr>
        <w:pStyle w:val="SubHeading"/>
      </w:pPr>
      <w:r>
        <w:t>Blind spots (auditor-independent):</w:t>
      </w:r>
    </w:p>
    <w:p>
      <w:pPr>
        <w:pStyle w:val="ListBullet"/>
      </w:pPr>
      <w:r>
        <w:t>Customer concentration risk - bear research suggests dependence on single large orders rather than diversified hyperscale base</w:t>
      </w:r>
    </w:p>
    <w:p>
      <w:pPr>
        <w:pStyle w:val="ListBullet"/>
      </w:pPr>
      <w:r>
        <w:t>Timing mismatch between capacity expansion and revenue targets - new facilities won't be operational until late 2026/2027 but $1B revenue target is FY2026</w:t>
      </w:r>
    </w:p>
    <w:p>
      <w:pPr>
        <w:pStyle w:val="ListBullet"/>
      </w:pPr>
      <w:r>
        <w:t>Competitive dynamics in 800G transition - no analysis of whether AAOI can maintain market share as technology commoditizes</w:t>
      </w:r>
    </w:p>
    <w:p>
      <w:pPr>
        <w:pStyle w:val="KillCriteria"/>
      </w:pPr>
      <w:r>
        <w:t>What would change our mind: Print on revenue_growth.catv_segment_growth comes in below our +35.6 figure (toward street +7.3) in the next 1-2 prints.</w:t>
      </w:r>
    </w:p>
    <w:p>
      <w:pPr>
        <w:pStyle w:val="SectionHeading"/>
      </w:pPr>
      <w:r>
        <w:t>Appendix</w:t>
      </w:r>
    </w:p>
    <w:p>
      <w:pPr>
        <w:pStyle w:val="SubHeading"/>
      </w:pPr>
      <w:r>
        <w:t>Business context:</w:t>
      </w:r>
    </w:p>
    <w:p>
      <w:r>
        <w:t>Applied Optoelectronics (AAOI) designs and manufactures optical transceivers for data center interconnects and amplifiers for cable television networks. The company sells high-speed transceivers (100G, 400G, 800G) to hyperscale customers like major cloud providers, and 1.8 GHz amplifiers to cable MSOs for broadband infrastructure upgrades.</w:t>
      </w:r>
    </w:p>
    <w:p>
      <w:pPr>
        <w:pStyle w:val="SubHeading"/>
      </w:pPr>
      <w:r>
        <w:t>Evidence gaps (research TODO):</w:t>
      </w:r>
    </w:p>
    <w:p>
      <w:pPr>
        <w:pStyle w:val="ListBullet"/>
      </w:pPr>
      <w:r>
        <w:t>Specific timing of new facility ramp and production capacity additions</w:t>
      </w:r>
    </w:p>
    <w:p>
      <w:pPr>
        <w:pStyle w:val="ListBullet"/>
      </w:pPr>
      <w:r>
        <w:t>Competitive response from LITE and other optical component suppliers</w:t>
      </w:r>
    </w:p>
    <w:p>
      <w:pPr>
        <w:pStyle w:val="ListBullet"/>
      </w:pPr>
      <w:r>
        <w:t>Customer concentration risk and hyperscale customer diversification progress</w:t>
      </w:r>
    </w:p>
    <w:p>
      <w:pPr>
        <w:pStyle w:val="ListBullet"/>
      </w:pPr>
      <w:r>
        <w:t>1.6T product development timeline and R&amp;D investment requirements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