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2026-05-04  |  Schema: general  |  Data: polygon+alpha_vantage (FY2025)</w:t>
      </w:r>
    </w:p>
    <w:p>
      <w:pPr>
        <w:pStyle w:val="SubHeading"/>
      </w:pPr>
      <w:r>
        <w:rPr>
          <w:color w:val="8C1D40"/>
        </w:rPr>
        <w:t>Direction: SHORT | Current: $475.00</w:t>
      </w:r>
    </w:p>
    <w:p>
      <w:pPr>
        <w:pStyle w:val="SubHeading"/>
      </w:pPr>
      <w:r>
        <w:t>Summary</w:t>
      </w:r>
    </w:p>
    <w:p>
      <w:pPr>
        <w:pStyle w:val="ListBullet"/>
      </w:pPr>
      <w:r>
        <w:t>Thesis: Consensus FY2026 revenue of $8.055B appears overly optimistic - our analysis suggests ~$7.2B is more realistic based on Q1 guide trajectory and e-commerce scaling constraints.</w:t>
      </w:r>
    </w:p>
    <w:p>
      <w:pPr>
        <w:pStyle w:val="ListBullet"/>
      </w:pPr>
      <w:r>
        <w:t>Next catalyst: Next quarterly earnings report (2026-05-06 (2 days))</w:t>
      </w:r>
    </w:p>
    <w:p>
      <w:pPr>
        <w:pStyle w:val="ListBullet"/>
      </w:pPr>
      <w:r>
        <w:t>Top risk: E-commerce will drive significant revenue acceleration in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1 finding(s) — cited→inferred: 1</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$3.45</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+106.8%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$3.69</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$15.81</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+62.2%</w:t>
            </w:r>
          </w:p>
        </w:tc>
        <w:tc>
          <w:tcPr>
            <w:tcW w:type="dxa" w:w="1399"/>
            <w:tcBorders>
              <w:top w:val="single" w:sz="4" w:color="BDC3C7"/>
              <w:bottom w:val="single" w:sz="4" w:color="BDC3C7"/>
              <w:left w:val="single" w:sz="4" w:color="BDC3C7"/>
              <w:right w:val="single" w:sz="4" w:color="BDC3C7"/>
            </w:tcBorders>
          </w:tcPr>
          <w:p>
            <w:r>
              <w:t>↑ +0.076</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$20.71</w:t>
            </w:r>
          </w:p>
        </w:tc>
        <w:tc>
          <w:tcPr>
            <w:tcW w:type="dxa" w:w="1399"/>
            <w:tcBorders>
              <w:top w:val="single" w:sz="4" w:color="BDC3C7"/>
              <w:bottom w:val="single" w:sz="4" w:color="BDC3C7"/>
              <w:left w:val="single" w:sz="4" w:color="BDC3C7"/>
              <w:right w:val="single" w:sz="4" w:color="BDC3C7"/>
            </w:tcBorders>
          </w:tcPr>
          <w:p>
            <w:r>
              <w:t>$15.72 – $23.75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+31.0%</w:t>
            </w:r>
          </w:p>
        </w:tc>
        <w:tc>
          <w:tcPr>
            <w:tcW w:type="dxa" w:w="1399"/>
            <w:tcBorders>
              <w:top w:val="single" w:sz="4" w:color="BDC3C7"/>
              <w:bottom w:val="single" w:sz="4" w:color="BDC3C7"/>
              <w:left w:val="single" w:sz="4" w:color="BDC3C7"/>
              <w:right w:val="single" w:sz="4" w:color="BDC3C7"/>
            </w:tcBorders>
          </w:tcPr>
          <w:p>
            <w:r>
              <w:t>↑ +0.276</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(+50.7%)  |  FY $8.06B (+47.0%)  |  FY+1 $10.43B (+29.5%)</w:t>
      </w:r>
    </w:p>
    <w:p>
      <w:r>
        <w:t>Price targets: Mean $639.36  |  Median $647.00  |  Range $340.00–$860.00  |  Current $473.93 (+34.9% to mean)</w:t>
      </w:r>
    </w:p>
    <w:p>
      <w:r>
        <w:t>Analyst ratings (n=30): Strong Buy 6 · Buy 20 · Hold 4 · Sell 0 · Strong Sell 0  ·  87% bullish</w:t>
      </w:r>
    </w:p>
    <w:p>
      <w:r>
        <w:t>Next earnings: 2026-05-06 (2d out)  ·  EPS $3.64 ($3.53–$3.74)  ·  Rev $1.78B</w:t>
      </w:r>
    </w:p>
    <w:p>
      <w:pPr>
        <w:pStyle w:val="SectionHeading"/>
      </w:pPr>
      <w:r>
        <w:t>1. Research Synthesis</w:t>
      </w:r>
    </w:p>
    <w:p>
      <w:r>
        <w:t>AppLovin's Q4 2025 results showcased the company's exceptional profitability machine, with revenue of $1.66B (+66% YoY) and adjusted EBITDA margins of 84%. However, a detailed analysis of the forward trajectory reveals concerning disconnects between management's cautious Q1 2026 guidance and Street expectations for the full year. Management guided Q1 2026 revenue to $1,745-1,775M, representing just 19.6% YoY growth at the midpoint - a significant deceleration from Q4's 66% pace. When we examine historical seasonality patterns for advertising-driven businesses, Q1 typically represents 22-24% of full-year revenue. Applying this seasonal framework to the Q1 guide midpoint of $1,760M suggests full-year 2026 revenue of approximately $7.3-8.0B, with the lower end more probable given the deceleration trend.</w:t>
      </w:r>
    </w:p>
    <w:p>
      <w:r>
        <w:t>The Street's consensus of $8.055B FY2026 revenue implies 47% growth, which would require a dramatic re-acceleration after the Q1 slowdown. This disconnect becomes more pronounced when examining the underlying business drivers. In the Q4 2025 call, CEO Adam Foroughi acknowledged that e-commerce growth - a key driver of the recent acceleration - remains constrained: 'In Q4, we opened up the self-service platform, referral only. So we're not at the point yet where we're sort of a GA-type launch. We'll get there. We said first half of this year.' The referral-only constraint suggests e-commerce contribution will remain limited in early 2026, contradicting the aggressive growth assumptions embedded in consensus.</w:t>
      </w:r>
    </w:p>
    <w:p>
      <w:pPr>
        <w:pStyle w:val="PullQuote"/>
      </w:pPr>
      <w:r>
        <w:t>Counter: the analyst claims Consensus FY2026 revenue of $8.055B appears overly optimistic - our analysis suggests ~$7.2B is more realistic — but The analyst's edge relies on Q1 guide trajectory analysis, but Q1 guide of $1,760M midpoint actually suggests even lower than $7.2B if 6% QoQ growth continues to decelerate. The 'edge' may be directionally right but quantitatively insufficient.</w:t>
      </w:r>
    </w:p>
    <w:p>
      <w:r>
        <w:t>Management's language around the e-commerce opportunity has also shown subtle but meaningful shifts. In Q2 2025, Foroughi stated they were 'seeing substantial growth' in the referral program, but by Q4 2025, the tone became more measured: 'we're seeing great trends' and 'we're not going to see anything that's going to impact our overall numbers for a while.' This language evolution suggests internal expectations may be moderating, even as the Street maintains aggressive assumptions. The company's decision to not break out e-commerce revenue separately ('we think of our platform as a unified platform') further obscures visibility into this critical growth driver.</w:t>
      </w:r>
    </w:p>
    <w:p>
      <w:r>
        <w:t>From a margin perspective, AppLovin's 84% adjusted EBITDA margins in Q4 represent best-in-class profitability, but this creates both opportunity and risk. The Q1 2026 adjusted EBITDA guide of $1,465-1,495M (84% margin) suggests management expects to maintain these exceptional margins even as growth moderates. However, sustaining 84% margins while scaling e-commerce operations and investing in AI-driven ad creative generation (mentioned as a 2026 priority) may prove challenging. The company's R&amp;D expenses of $226.5M (4.1% of revenue) in FY2025 could face upward pressure as these initiatives ramp.</w:t>
      </w:r>
    </w:p>
    <w:p>
      <w:r>
        <w:t>The competitive landscape presents additional headwinds that consensus may be underestimating. In the Q4 call, Foroughi addressed concerns about Meta's increased bidding activity: 'Meta was a launch partner of Max. They're a good partner... They are a bidder on anything that has an ID today, and they're not a bidder on anything that does not have an ID.' While management expressed confidence that increased competition actually benefits their ecosystem through higher auction density, this view assumes AppLovin's bidding algorithms maintain their edge. Historical precedent in ad-tech suggests that as platforms mature and competition intensifies, margin compression often follows.</w:t>
      </w:r>
    </w:p>
    <w:p>
      <w:r>
        <w:t>Recent insider activity adds another layer of concern. Director Eduardo Vivas sold $9.5M in shares on March 13, 2026, followed by an additional 163,910 shares on March 16 under a Rule 10b5-1 plan. While these were pre-planned sales, the timing coincides with the stock's significant decline and management's more cautious Q1 guidance. This contrasts with the small RSU grants to other directors, suggesting mixed signals from insiders about near-term prospects.</w:t>
      </w:r>
    </w:p>
    <w:p>
      <w:r>
        <w:t>The bear case from short-sellers, while often hyperbolic, raises legitimate questions about AppLovin's e-commerce expansion strategy. Claims about 'copying Meta's data' and aggressive tracking practices, if substantiated, could create regulatory headwinds that would constrain the international expansion management has prioritized. The company's expansion into international e-commerce traffic in Q3 2025 'ahead of schedule' suggests aggressive growth tactics that may face scrutiny.</w:t>
      </w:r>
    </w:p>
    <w:p>
      <w:r>
        <w:t>Cash generation remains AppLovin's strongest attribute, with $3.95B in free cash flow for FY2025 and $2.58B returned to shareholders through buybacks. The company reduced share count from 346M to 338M over the year, providing meaningful EPS accretion. However, this capital allocation strategy assumes continued strong cash generation, which depends on sustaining both growth and margins - a combination that becomes more challenging as the business scales and competition intensifies.</w:t>
      </w:r>
    </w:p>
    <w:p>
      <w:r>
        <w:t>Our analysis suggests consensus FY2026 revenue expectations of $8.055B require a level of e-commerce acceleration and market share gains that management's own guidance and commentary don't support. A more realistic scenario based on Q1 trajectory and constrained e-commerce scaling points to revenue closer to $7.2B, representing a meaningful downside to current Street expectations.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$3.45</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$3.69</w:t>
            </w:r>
          </w:p>
        </w:tc>
        <w:tc>
          <w:tcPr>
            <w:tcW w:type="dxa" w:w="3264"/>
            <w:tcBorders>
              <w:top w:val="single" w:sz="4" w:color="BDC3C7"/>
              <w:bottom w:val="single" w:sz="4" w:color="BDC3C7"/>
              <w:left w:val="single" w:sz="4" w:color="BDC3C7"/>
              <w:right w:val="single" w:sz="4" w:color="BDC3C7"/>
            </w:tcBorders>
          </w:tcPr>
          <w:p>
            <w:r>
              <w:t>$1,897M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$15.81</w:t>
            </w:r>
          </w:p>
        </w:tc>
        <w:tc>
          <w:tcPr>
            <w:tcW w:type="dxa" w:w="3264"/>
            <w:tcBorders>
              <w:top w:val="single" w:sz="4" w:color="BDC3C7"/>
              <w:bottom w:val="single" w:sz="4" w:color="BDC3C7"/>
              <w:left w:val="single" w:sz="4" w:color="BDC3C7"/>
              <w:right w:val="single" w:sz="4" w:color="BDC3C7"/>
            </w:tcBorders>
          </w:tcPr>
          <w:p>
            <w:r>
              <w:t>$8,055M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$20.71</w:t>
            </w:r>
          </w:p>
        </w:tc>
        <w:tc>
          <w:tcPr>
            <w:tcW w:type="dxa" w:w="3264"/>
            <w:tcBorders>
              <w:top w:val="single" w:sz="4" w:color="BDC3C7"/>
              <w:bottom w:val="single" w:sz="4" w:color="BDC3C7"/>
              <w:left w:val="single" w:sz="4" w:color="BDC3C7"/>
              <w:right w:val="single" w:sz="4" w:color="BDC3C7"/>
            </w:tcBorders>
          </w:tcPr>
          <w:p>
            <w:r>
              <w:t>$10,432M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$8.1B</w:t>
            </w:r>
          </w:p>
        </w:tc>
        <w:tc>
          <w:tcPr>
            <w:tcW w:type="dxa" w:w="1632"/>
            <w:tcBorders>
              <w:top w:val="single" w:sz="4" w:color="BDC3C7"/>
              <w:bottom w:val="single" w:sz="4" w:color="BDC3C7"/>
              <w:left w:val="single" w:sz="4" w:color="BDC3C7"/>
              <w:right w:val="single" w:sz="4" w:color="BDC3C7"/>
            </w:tcBorders>
          </w:tcPr>
          <w:p>
            <w:r>
              <w:t>$7.2B</w:t>
            </w:r>
          </w:p>
        </w:tc>
        <w:tc>
          <w:tcPr>
            <w:tcW w:type="dxa" w:w="1632"/>
            <w:tcBorders>
              <w:top w:val="single" w:sz="4" w:color="BDC3C7"/>
              <w:bottom w:val="single" w:sz="4" w:color="BDC3C7"/>
              <w:left w:val="single" w:sz="4" w:color="BDC3C7"/>
              <w:right w:val="single" w:sz="4" w:color="BDC3C7"/>
            </w:tcBorders>
          </w:tcPr>
          <w:p>
            <w:r>
              <w:t>-2.10</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$15.81</w:t>
            </w:r>
          </w:p>
        </w:tc>
        <w:tc>
          <w:tcPr>
            <w:tcW w:type="dxa" w:w="1632"/>
            <w:tcBorders>
              <w:top w:val="single" w:sz="4" w:color="BDC3C7"/>
              <w:bottom w:val="single" w:sz="4" w:color="BDC3C7"/>
              <w:left w:val="single" w:sz="4" w:color="BDC3C7"/>
              <w:right w:val="single" w:sz="4" w:color="BDC3C7"/>
            </w:tcBorders>
          </w:tcPr>
          <w:p>
            <w:r>
              <w:t>$13.50</w:t>
            </w:r>
          </w:p>
        </w:tc>
        <w:tc>
          <w:tcPr>
            <w:tcW w:type="dxa" w:w="1632"/>
            <w:tcBorders>
              <w:top w:val="single" w:sz="4" w:color="BDC3C7"/>
              <w:bottom w:val="single" w:sz="4" w:color="BDC3C7"/>
              <w:left w:val="single" w:sz="4" w:color="BDC3C7"/>
              <w:right w:val="single" w:sz="4" w:color="BDC3C7"/>
            </w:tcBorders>
          </w:tcPr>
          <w:p>
            <w:r>
              <w:t>-2.31</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consensus_fy_revenue</w:t>
      </w:r>
    </w:p>
    <w:p>
      <w:r>
        <w:t>Q1 2026 guide midpoint of $1,760M implies seasonal run-rate of $7.3-8.0B, but e-commerce constraints and growth deceleration suggest lower end more likely</w:t>
      </w:r>
    </w:p>
    <w:p>
      <w:r>
        <w:t>Street anchor: $8.1B (yfinance consensus) → Our view: $7.2B</w:t>
      </w:r>
    </w:p>
    <w:p>
      <w:pPr>
        <w:pStyle w:val="PullQuote"/>
      </w:pPr>
      <w:r>
        <w:t>“In the first quarter of 2026, we anticipate revenue between $1,745 and $1,775”  (press_release)</w:t>
      </w:r>
    </w:p>
    <w:p>
      <w:pPr>
        <w:pStyle w:val="PullQuote"/>
      </w:pPr>
      <w:r>
        <w:t>“we're not going to see anything that's going to impact our overall numbers for a while”  (transcript)</w:t>
      </w:r>
    </w:p>
    <w:p>
      <w:r>
        <w:t>Why not consensus: Street models FY top-down from headline growth without reconciling Q1 guide against seasonal patterns - they don't connect the Q1 deceleration to full-year implications</w:t>
      </w:r>
    </w:p>
    <w:p>
      <w:pPr>
        <w:pStyle w:val="KillCriteria"/>
      </w:pPr>
      <w:r>
        <w:t>Falsifier: If Q1 actual revenue exceeds $1,800M or management raises FY guidance on Q1 call</w:t>
      </w:r>
    </w:p>
    <w:p>
      <w:pPr>
        <w:pStyle w:val="SubHeading"/>
      </w:pPr>
      <w:r>
        <w:t>Claim 2 — consensus_fy_eps</w:t>
      </w:r>
    </w:p>
    <w:p>
      <w:r>
        <w:t>Lower revenue flows through to EPS at high incremental margins, partially offset by continued share buybacks</w:t>
      </w:r>
    </w:p>
    <w:p>
      <w:r>
        <w:t>Street anchor: $15.81 (yfinance consensus) → Our view: $13.50</w:t>
      </w:r>
    </w:p>
    <w:p>
      <w:pPr>
        <w:pStyle w:val="PullQuote"/>
      </w:pPr>
      <w:r>
        <w:t>“Quarter-over-quarter flow-through to adjusted EBITDA was 95%”  (transcript)</w:t>
      </w:r>
    </w:p>
    <w:p>
      <w:pPr>
        <w:pStyle w:val="PullQuote"/>
      </w:pPr>
      <w:r>
        <w:t>“we repurchased and withheld approximately 6.4 million shares for a total of $2.58 billion”  (press_release)</w:t>
      </w:r>
    </w:p>
    <w:p>
      <w:r>
        <w:t>Why not consensus: Analysts focus on margin sustainability without fully accounting for revenue shortfall impact - they model incremental margins but miss the revenue base effect</w:t>
      </w:r>
    </w:p>
    <w:p>
      <w:pPr>
        <w:pStyle w:val="KillCriteria"/>
      </w:pPr>
      <w:r>
        <w:t>Falsifier: If company accelerates buyback pace or achieves revenue upside that restores margin leverage</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+26.66%</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core_gaming_growth</w:t>
            </w:r>
          </w:p>
        </w:tc>
        <w:tc>
          <w:tcPr>
            <w:tcW w:type="dxa" w:w="1958"/>
            <w:tcBorders>
              <w:top w:val="single" w:sz="4" w:color="BDC3C7"/>
              <w:bottom w:val="single" w:sz="4" w:color="BDC3C7"/>
              <w:left w:val="single" w:sz="4" w:color="BDC3C7"/>
              <w:right w:val="single" w:sz="4" w:color="BDC3C7"/>
            </w:tcBorders>
          </w:tcPr>
          <w:p>
            <w:r>
              <w:t>+23.31%</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Q4 2025 call, management noted 'The majority of our revenue growth in the quarter was driven by our core gaming business' with continued model improvements. However, Q1 guide suggests deceleration from Q4's 66% pa</w:t>
            </w:r>
          </w:p>
        </w:tc>
      </w:tr>
      <w:tr>
        <w:tc>
          <w:tcPr>
            <w:tcW w:type="dxa" w:w="1958"/>
            <w:tcBorders>
              <w:top w:val="single" w:sz="4" w:color="BDC3C7"/>
              <w:bottom w:val="single" w:sz="4" w:color="BDC3C7"/>
              <w:left w:val="single" w:sz="4" w:color="BDC3C7"/>
              <w:right w:val="single" w:sz="4" w:color="BDC3C7"/>
            </w:tcBorders>
          </w:tcPr>
          <w:p>
            <w:r>
              <w:t xml:space="preserve">    e_commerce_contribution</w:t>
            </w:r>
          </w:p>
        </w:tc>
        <w:tc>
          <w:tcPr>
            <w:tcW w:type="dxa" w:w="1958"/>
            <w:tcBorders>
              <w:top w:val="single" w:sz="4" w:color="BDC3C7"/>
              <w:bottom w:val="single" w:sz="4" w:color="BDC3C7"/>
              <w:left w:val="single" w:sz="4" w:color="BDC3C7"/>
              <w:right w:val="single" w:sz="4" w:color="BDC3C7"/>
            </w:tcBorders>
          </w:tcPr>
          <w:p>
            <w:r>
              <w:t>+3.35%</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disclosed a 'billion dollar run rate' for e-commerce in Q1 2025 but noted in Q4 2025 that 'we're not going to see anything that's going to impact our overall numbers for a while' due to referral-only constrain  [auto-downgraded: citation text not found in corpus: 'Q4 2025 call: 'we're not going to see anything that's going to impact our overal...']</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revenue_growth.e_commerce_contribution: 5.59 → 3.0 — If e-commerce scaling faces greater technical or regulatory constraints, contribution could be even more limited than base case assumes</w:t>
      </w:r>
    </w:p>
    <w:p>
      <w:pPr>
        <w:pStyle w:val="PullQuote"/>
      </w:pPr>
      <w:r>
        <w:t>Counter: the analyst claims Core gaming growth of 23.31% and e-commerce contribution of 5.59% drive the model — but Leadership departure of both CTO (technology architect) and Chief Legal Officer (compliance) during H2 2026 creates execution risk precisely when e-commerce scaling needs both technical excellence and regulatory navigation. Timing couldn't be worse.</w:t>
      </w:r>
    </w:p>
    <w:p>
      <w:pPr>
        <w:pStyle w:val="SectionHeading"/>
      </w:pPr>
      <w:r>
        <w:t>3. Consensus Gap &amp; Valuation</w:t>
      </w:r>
    </w:p>
    <w:p>
      <w:r>
        <w:t>Our EPS: $13.50  =  baseline $15.81  +  Σ claim impacts $-2.31 (14.6% below consensus $15.81)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$15.81</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$15.81 → $13.50 (Δ $-2.31)</w:t>
            </w:r>
          </w:p>
        </w:tc>
        <w:tc>
          <w:tcPr>
            <w:tcW w:type="dxa" w:w="2448"/>
            <w:tcBorders>
              <w:top w:val="single" w:sz="4" w:color="BDC3C7"/>
              <w:bottom w:val="single" w:sz="4" w:color="BDC3C7"/>
              <w:left w:val="single" w:sz="4" w:color="BDC3C7"/>
              <w:right w:val="single" w:sz="4" w:color="BDC3C7"/>
            </w:tcBorders>
          </w:tcPr>
          <w:p>
            <w:r>
              <w:t>Direct EPS delta: $-2.31/share</w:t>
            </w:r>
          </w:p>
        </w:tc>
        <w:tc>
          <w:tcPr>
            <w:tcW w:type="dxa" w:w="2448"/>
            <w:tcBorders>
              <w:top w:val="single" w:sz="4" w:color="BDC3C7"/>
              <w:bottom w:val="single" w:sz="4" w:color="BDC3C7"/>
              <w:left w:val="single" w:sz="4" w:color="BDC3C7"/>
              <w:right w:val="single" w:sz="4" w:color="BDC3C7"/>
            </w:tcBorders>
          </w:tcPr>
          <w:p>
            <w:r>
              <w:t>-2.31</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$8.1B → $7.2B (Δ $-855M)</w:t>
            </w:r>
          </w:p>
        </w:tc>
        <w:tc>
          <w:tcPr>
            <w:tcW w:type="dxa" w:w="2448"/>
            <w:tcBorders>
              <w:top w:val="single" w:sz="4" w:color="BDC3C7"/>
              <w:bottom w:val="single" w:sz="4" w:color="BDC3C7"/>
              <w:left w:val="single" w:sz="4" w:color="BDC3C7"/>
              <w:right w:val="single" w:sz="4" w:color="BDC3C7"/>
            </w:tcBorders>
          </w:tcPr>
          <w:p>
            <w:r>
              <w:t xml:space="preserve">(supporting view, not summed: same disagreement as 'consensus_fy_eps' through different metric lens) Revenue Δ $-855M × </w:t>
            </w:r>
          </w:p>
        </w:tc>
        <w:tc>
          <w:tcPr>
            <w:tcW w:type="dxa" w:w="2448"/>
            <w:tcBorders>
              <w:top w:val="single" w:sz="4" w:color="BDC3C7"/>
              <w:bottom w:val="single" w:sz="4" w:color="BDC3C7"/>
              <w:left w:val="single" w:sz="4" w:color="BDC3C7"/>
              <w:right w:val="single" w:sz="4" w:color="BDC3C7"/>
            </w:tcBorders>
          </w:tcPr>
          <w:p>
            <w: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-2.31</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$13.50</w:t>
            </w:r>
          </w:p>
        </w:tc>
      </w:tr>
    </w:tbl>
    <w:p>
      <w:pPr>
        <w:pStyle w:val="PullQuote"/>
      </w:pPr>
      <w:r>
        <w:t xml:space="preserve">  ⚠ Mechanically-overlapping claim deduplicated: 'consensus_fy_revenue' overlaps with selected 'consensus_fy_eps'; only the more comprehensive claim is summed into our_eps.</w:t>
      </w:r>
    </w:p>
    <w:p>
      <w:r>
        <w:t>Our estimate is $2.31 (14.6%) below consensus $15.81. Primary driver: revenue_growth.e_commerce_contribution (ours +3.4 vs street +19.6, contributing $-1.944 to EPS variant, evidence: weak). Variant appears NOT fully priced in based on available market data. Next catalyst: Next quarterly earnings report (2026-05-06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revenue_growth.e_commerce_contribution</w:t>
            </w:r>
          </w:p>
        </w:tc>
        <w:tc>
          <w:tcPr>
            <w:tcW w:type="dxa" w:w="1958"/>
            <w:tcBorders>
              <w:top w:val="single" w:sz="4" w:color="BDC3C7"/>
              <w:bottom w:val="single" w:sz="4" w:color="BDC3C7"/>
              <w:left w:val="single" w:sz="4" w:color="BDC3C7"/>
              <w:right w:val="single" w:sz="4" w:color="BDC3C7"/>
            </w:tcBorders>
          </w:tcPr>
          <w:p>
            <w:r>
              <w:t>+3.35</w:t>
            </w:r>
          </w:p>
        </w:tc>
        <w:tc>
          <w:tcPr>
            <w:tcW w:type="dxa" w:w="1958"/>
            <w:tcBorders>
              <w:top w:val="single" w:sz="4" w:color="BDC3C7"/>
              <w:bottom w:val="single" w:sz="4" w:color="BDC3C7"/>
              <w:left w:val="single" w:sz="4" w:color="BDC3C7"/>
              <w:right w:val="single" w:sz="4" w:color="BDC3C7"/>
            </w:tcBorders>
          </w:tcPr>
          <w:p>
            <w:r>
              <w:t>+19.55</w:t>
            </w:r>
          </w:p>
        </w:tc>
        <w:tc>
          <w:tcPr>
            <w:tcW w:type="dxa" w:w="1958"/>
            <w:tcBorders>
              <w:top w:val="single" w:sz="4" w:color="BDC3C7"/>
              <w:bottom w:val="single" w:sz="4" w:color="BDC3C7"/>
              <w:left w:val="single" w:sz="4" w:color="BDC3C7"/>
              <w:right w:val="single" w:sz="4" w:color="BDC3C7"/>
            </w:tcBorders>
          </w:tcPr>
          <w:p>
            <w:r>
              <w:t>-1.944</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revenue_growth.core_gaming_growth</w:t>
            </w:r>
          </w:p>
        </w:tc>
        <w:tc>
          <w:tcPr>
            <w:tcW w:type="dxa" w:w="1958"/>
            <w:tcBorders>
              <w:top w:val="single" w:sz="4" w:color="BDC3C7"/>
              <w:bottom w:val="single" w:sz="4" w:color="BDC3C7"/>
              <w:left w:val="single" w:sz="4" w:color="BDC3C7"/>
              <w:right w:val="single" w:sz="4" w:color="BDC3C7"/>
            </w:tcBorders>
          </w:tcPr>
          <w:p>
            <w:r>
              <w:t>+23.31</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(-14.6%) exceeds implied move (8.7%)</w:t>
      </w:r>
    </w:p>
    <w:p>
      <w:r>
        <w:t>Edge verdict: POSSIBLE_EDGE (score 0.050).</w:t>
      </w:r>
    </w:p>
    <w:p>
      <w:pPr>
        <w:pStyle w:val="PullQuote"/>
      </w:pPr>
      <w:r>
        <w:t>Counter: the analyst claims Consensus expectations appear too high based on scaling constraints — but The analyst assumes linear scaling constraints but ignores binary regulatory outcomes. If fraud allegations have merit, consensus isn't just 'too high' - it's based on fundamentally flawed assumptions about business model legitimacy and platform access sustainability.</w:t>
      </w:r>
    </w:p>
    <w:p>
      <w:pPr>
        <w:pStyle w:val="SectionHeading"/>
      </w:pPr>
      <w:r>
        <w:t>4. Catalysts</w:t>
      </w:r>
    </w:p>
    <w:p>
      <w:pPr>
        <w:pStyle w:val="ListBullet"/>
      </w:pPr>
      <w:r>
        <w:t>Next quarterly earnings report (2026-05-06 (2 days)) — resolves revenue + margins + guidance; confirms or challenges</w:t>
      </w:r>
    </w:p>
    <w:p>
      <w:pPr>
        <w:pStyle w:val="ListBullet"/>
      </w:pPr>
      <w:r>
        <w:t>Resolution: E-commerce will drive significant revenue acceleration in 2026 (Resolves at earnings (2026-05-06)) — resolves revenue_growth; confirms or challenges</w:t>
      </w:r>
    </w:p>
    <w:p>
      <w:pPr>
        <w:pStyle w:val="ListBullet"/>
      </w:pPr>
      <w:r>
        <w:t>Resolution: Q1 guidance represents typical management conservatism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Specific e-commerce revenue breakdown or growth metrics (Unknown timing) — resolves multiple; resolves uncertainty</w:t>
      </w:r>
    </w:p>
    <w:p>
      <w:pPr>
        <w:pStyle w:val="ListBullet"/>
      </w:pPr>
      <w:r>
        <w:t>International expansion progress and regulatory constraints (Unknown timing) — resolves multiple; resolves uncertainty</w:t>
      </w:r>
    </w:p>
    <w:p>
      <w:pPr>
        <w:pStyle w:val="SectionHeading"/>
      </w:pPr>
      <w:r>
        <w:t>5. Risks, Blind Spots &amp; Kill Criteria</w:t>
      </w:r>
    </w:p>
    <w:p>
      <w:pPr>
        <w:pStyle w:val="SubHeading"/>
      </w:pPr>
      <w:r>
        <w:t>Top risks:</w:t>
      </w:r>
    </w:p>
    <w:p>
      <w:pPr>
        <w:pStyle w:val="ListBullet"/>
      </w:pPr>
      <w:r>
        <w:t>E-commerce will drive significant revenue acceleration in 2026 — counter: Management explicitly stated 'we're not going to see anything that's going to impact our overall numbers for a while' and e-commerce remains referral-only with no GA launch timeline [serious]</w:t>
      </w:r>
    </w:p>
    <w:p>
      <w:pPr>
        <w:pStyle w:val="ListBullet"/>
      </w:pPr>
      <w:r>
        <w:t>Q1 guide trajectory supports ~$7.2B FY2026 estimate vs consensus $8.055B — counter: Q1 2026 guidance of $1,745-1,775M implies $1,760M midpoint. Annualizing this at 4x gives $7.04B, but this ignores sequential growth patterns. Q4 2025 was $1,658M, so Q1 guide represents only 6% QoQ growth at midpoint, suggesting the analyst's $7.2B may actually be too HIGH if growth decelerates further (source: filing) [serious]</w:t>
      </w:r>
    </w:p>
    <w:p>
      <w:pPr>
        <w:pStyle w:val="ListBullet"/>
      </w:pPr>
      <w:r>
        <w:t>E-commerce expansion is constrained and will contribute only 5.59% growth — counter: Bear research from Fuzzy Panda alleges e-commerce success is built on 'copying META's data' and 'stealing' competitor insights, which if true, represents massive regulatory and platform risk that could eliminate e-commerce upside entirely rather than just constrain it (source: bear_research) [serious]</w:t>
      </w:r>
    </w:p>
    <w:p>
      <w:pPr>
        <w:pStyle w:val="SubHeading"/>
      </w:pPr>
      <w:r>
        <w:t>Blind spots (auditor-independent):</w:t>
      </w:r>
    </w:p>
    <w:p>
      <w:pPr>
        <w:pStyle w:val="ListBullet"/>
      </w:pPr>
      <w:r>
        <w:t>Leadership transition risk: CTO and Chief Legal Officer both departing in July-August 2026 during critical e-commerce scaling phase</w:t>
      </w:r>
    </w:p>
    <w:p>
      <w:pPr>
        <w:pStyle w:val="ListBullet"/>
      </w:pPr>
      <w:r>
        <w:t>Share buyback sustainability: $2.58B repurchased in 2025 vs $3.95B free cash flow - this 65% payout ratio may be unsustainable if growth decelerates</w:t>
      </w:r>
    </w:p>
    <w:p>
      <w:pPr>
        <w:pStyle w:val="ListBullet"/>
      </w:pPr>
      <w:r>
        <w:t>Platform dependency risk: Meta is described as a 'launch partner' but bear research suggests business model depends on accessing Meta's data</w:t>
      </w:r>
    </w:p>
    <w:p>
      <w:pPr>
        <w:pStyle w:val="KillCriteria"/>
      </w:pPr>
      <w:r>
        <w:t>What would change our mind: Print on revenue_growth.e_commerce_contribution comes in above our +3.4 figure (toward street +19.6) in the next 1-2 prints.</w:t>
      </w:r>
    </w:p>
    <w:p>
      <w:pPr>
        <w:pStyle w:val="SectionHeading"/>
      </w:pPr>
      <w:r>
        <w:t>Appendix</w:t>
      </w:r>
    </w:p>
    <w:p>
      <w:pPr>
        <w:pStyle w:val="SubHeading"/>
      </w:pPr>
      <w:r>
        <w:t>Business context:</w:t>
      </w:r>
    </w:p>
    <w:p>
      <w:r>
        <w:t>AppLovin operates a mobile advertising platform that connects advertisers with mobile game publishers through its MAX mediation platform and AXON bidding engine. The company generates revenue by taking a percentage of advertising transactions, with ~88% gross margins reflecting its software-like economics.</w:t>
      </w:r>
    </w:p>
    <w:p>
      <w:pPr>
        <w:pStyle w:val="SubHeading"/>
      </w:pPr>
      <w:r>
        <w:t>Evidence gaps (research TODO):</w:t>
      </w:r>
    </w:p>
    <w:p>
      <w:pPr>
        <w:pStyle w:val="ListBullet"/>
      </w:pPr>
      <w:r>
        <w:t>Specific e-commerce revenue breakdown or growth metrics</w:t>
      </w:r>
    </w:p>
    <w:p>
      <w:pPr>
        <w:pStyle w:val="ListBullet"/>
      </w:pPr>
      <w:r>
        <w:t>International expansion progress and regulatory constraints</w:t>
      </w:r>
    </w:p>
    <w:p>
      <w:pPr>
        <w:pStyle w:val="ListBullet"/>
      </w:pPr>
      <w:r>
        <w:t>Competitive response from Meta and Google in bidding density</w:t>
      </w:r>
    </w:p>
    <w:p>
      <w:pPr>
        <w:pStyle w:val="ListBullet"/>
      </w:pPr>
      <w:r>
        <w:t>Actual vs guided performance on recent quarters to assess management credibility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