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APP — APP</w:t>
      </w:r>
    </w:p>
    <w:p>
      <w:pPr>
        <w:pStyle w:val="SmallMeta"/>
      </w:pPr>
      <w:r>
        <w:t>As of 2026-05-05  |  Schema: general  |  Data: polygon+alpha_vantage (FY2025)</w:t>
      </w:r>
    </w:p>
    <w:p>
      <w:pPr>
        <w:pStyle w:val="SubHeading"/>
      </w:pPr>
      <w:r>
        <w:rPr>
          <w:color w:val="8C1D40"/>
        </w:rPr>
        <w:t>Direction: SHORT | Current: $478.11</w:t>
      </w:r>
    </w:p>
    <w:p>
      <w:pPr>
        <w:pStyle w:val="SubHeading"/>
      </w:pPr>
      <w:r>
        <w:t>Summary</w:t>
      </w:r>
    </w:p>
    <w:p>
      <w:pPr>
        <w:pStyle w:val="ListBullet"/>
      </w:pPr>
      <w:r>
        <w:t>Thesis: Consensus FY2026 revenue estimates of $8.0B appear 15-20% too high based on Q1 2026 guidance seasonality patterns and management's cautious e-commerce scaling approach.</w:t>
      </w:r>
    </w:p>
    <w:p>
      <w:pPr>
        <w:pStyle w:val="ListBullet"/>
      </w:pPr>
      <w:r>
        <w:t>Next catalyst: Next quarterly earnings report (2026-05-06 (1 days))</w:t>
      </w:r>
    </w:p>
    <w:p>
      <w:pPr>
        <w:pStyle w:val="ListBullet"/>
      </w:pPr>
      <w:r>
        <w:t>Top risk: Q1 guidance supports full-year consensus</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Thin brief drivers (1 drivers / 2 components) on schema 'general'. The mechanical model and edge variant back-solve may be unreliable.</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$3.46</w:t>
            </w:r>
          </w:p>
        </w:tc>
        <w:tc>
          <w:tcPr>
            <w:tcW w:type="dxa" w:w="1399"/>
            <w:tcBorders>
              <w:top w:val="single" w:sz="4" w:color="BDC3C7"/>
              <w:bottom w:val="single" w:sz="4" w:color="BDC3C7"/>
              <w:left w:val="single" w:sz="4" w:color="BDC3C7"/>
              <w:right w:val="single" w:sz="4" w:color="BDC3C7"/>
            </w:tcBorders>
          </w:tcPr>
          <w:p>
            <w:r>
              <w:t>$3.15 – $3.76</w:t>
            </w:r>
          </w:p>
        </w:tc>
        <w:tc>
          <w:tcPr>
            <w:tcW w:type="dxa" w:w="1399"/>
            <w:tcBorders>
              <w:top w:val="single" w:sz="4" w:color="BDC3C7"/>
              <w:bottom w:val="single" w:sz="4" w:color="BDC3C7"/>
              <w:left w:val="single" w:sz="4" w:color="BDC3C7"/>
              <w:right w:val="single" w:sz="4" w:color="BDC3C7"/>
            </w:tcBorders>
          </w:tcPr>
          <w:p>
            <w:r>
              <w:t>17</w:t>
            </w:r>
          </w:p>
        </w:tc>
        <w:tc>
          <w:tcPr>
            <w:tcW w:type="dxa" w:w="1399"/>
            <w:tcBorders>
              <w:top w:val="single" w:sz="4" w:color="BDC3C7"/>
              <w:bottom w:val="single" w:sz="4" w:color="BDC3C7"/>
              <w:left w:val="single" w:sz="4" w:color="BDC3C7"/>
              <w:right w:val="single" w:sz="4" w:color="BDC3C7"/>
            </w:tcBorders>
          </w:tcPr>
          <w:p>
            <w:r>
              <w:t>+107.0%</w:t>
            </w:r>
          </w:p>
        </w:tc>
        <w:tc>
          <w:tcPr>
            <w:tcW w:type="dxa" w:w="1399"/>
            <w:tcBorders>
              <w:top w:val="single" w:sz="4" w:color="BDC3C7"/>
              <w:bottom w:val="single" w:sz="4" w:color="BDC3C7"/>
              <w:left w:val="single" w:sz="4" w:color="BDC3C7"/>
              <w:right w:val="single" w:sz="4" w:color="BDC3C7"/>
            </w:tcBorders>
          </w:tcPr>
          <w:p>
            <w:r>
              <w:t>↑ +0.010</w:t>
            </w:r>
          </w:p>
        </w:tc>
        <w:tc>
          <w:tcPr>
            <w:tcW w:type="dxa" w:w="1399"/>
            <w:tcBorders>
              <w:top w:val="single" w:sz="4" w:color="BDC3C7"/>
              <w:bottom w:val="single" w:sz="4" w:color="BDC3C7"/>
              <w:left w:val="single" w:sz="4" w:color="BDC3C7"/>
              <w:right w:val="single" w:sz="4" w:color="BDC3C7"/>
            </w:tcBorders>
          </w:tcPr>
          <w:p>
            <w:r>
              <w:t>↑4 / ↓0</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$3.70</w:t>
            </w:r>
          </w:p>
        </w:tc>
        <w:tc>
          <w:tcPr>
            <w:tcW w:type="dxa" w:w="1399"/>
            <w:tcBorders>
              <w:top w:val="single" w:sz="4" w:color="BDC3C7"/>
              <w:bottom w:val="single" w:sz="4" w:color="BDC3C7"/>
              <w:left w:val="single" w:sz="4" w:color="BDC3C7"/>
              <w:right w:val="single" w:sz="4" w:color="BDC3C7"/>
            </w:tcBorders>
          </w:tcPr>
          <w:p>
            <w:r>
              <w:t>$3.35 – $4.05</w:t>
            </w:r>
          </w:p>
        </w:tc>
        <w:tc>
          <w:tcPr>
            <w:tcW w:type="dxa" w:w="1399"/>
            <w:tcBorders>
              <w:top w:val="single" w:sz="4" w:color="BDC3C7"/>
              <w:bottom w:val="single" w:sz="4" w:color="BDC3C7"/>
              <w:left w:val="single" w:sz="4" w:color="BDC3C7"/>
              <w:right w:val="single" w:sz="4" w:color="BDC3C7"/>
            </w:tcBorders>
          </w:tcPr>
          <w:p>
            <w:r>
              <w:t>17</w:t>
            </w:r>
          </w:p>
        </w:tc>
        <w:tc>
          <w:tcPr>
            <w:tcW w:type="dxa" w:w="1399"/>
            <w:tcBorders>
              <w:top w:val="single" w:sz="4" w:color="BDC3C7"/>
              <w:bottom w:val="single" w:sz="4" w:color="BDC3C7"/>
              <w:left w:val="single" w:sz="4" w:color="BDC3C7"/>
              <w:right w:val="single" w:sz="4" w:color="BDC3C7"/>
            </w:tcBorders>
          </w:tcPr>
          <w:p>
            <w:r>
              <w:t>+54.8%</w:t>
            </w:r>
          </w:p>
        </w:tc>
        <w:tc>
          <w:tcPr>
            <w:tcW w:type="dxa" w:w="1399"/>
            <w:tcBorders>
              <w:top w:val="single" w:sz="4" w:color="BDC3C7"/>
              <w:bottom w:val="single" w:sz="4" w:color="BDC3C7"/>
              <w:left w:val="single" w:sz="4" w:color="BDC3C7"/>
              <w:right w:val="single" w:sz="4" w:color="BDC3C7"/>
            </w:tcBorders>
          </w:tcPr>
          <w:p>
            <w:r>
              <w:t>↑ +0.031</w:t>
            </w:r>
          </w:p>
        </w:tc>
        <w:tc>
          <w:tcPr>
            <w:tcW w:type="dxa" w:w="1399"/>
            <w:tcBorders>
              <w:top w:val="single" w:sz="4" w:color="BDC3C7"/>
              <w:bottom w:val="single" w:sz="4" w:color="BDC3C7"/>
              <w:left w:val="single" w:sz="4" w:color="BDC3C7"/>
              <w:right w:val="single" w:sz="4" w:color="BDC3C7"/>
            </w:tcBorders>
          </w:tcPr>
          <w:p>
            <w:r>
              <w:t>↑4 / ↓0</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$15.82</w:t>
            </w:r>
          </w:p>
        </w:tc>
        <w:tc>
          <w:tcPr>
            <w:tcW w:type="dxa" w:w="1399"/>
            <w:tcBorders>
              <w:top w:val="single" w:sz="4" w:color="BDC3C7"/>
              <w:bottom w:val="single" w:sz="4" w:color="BDC3C7"/>
              <w:left w:val="single" w:sz="4" w:color="BDC3C7"/>
              <w:right w:val="single" w:sz="4" w:color="BDC3C7"/>
            </w:tcBorders>
          </w:tcPr>
          <w:p>
            <w:r>
              <w:t>$14.32 – $17.62</w:t>
            </w:r>
          </w:p>
        </w:tc>
        <w:tc>
          <w:tcPr>
            <w:tcW w:type="dxa" w:w="1399"/>
            <w:tcBorders>
              <w:top w:val="single" w:sz="4" w:color="BDC3C7"/>
              <w:bottom w:val="single" w:sz="4" w:color="BDC3C7"/>
              <w:left w:val="single" w:sz="4" w:color="BDC3C7"/>
              <w:right w:val="single" w:sz="4" w:color="BDC3C7"/>
            </w:tcBorders>
          </w:tcPr>
          <w:p>
            <w:r>
              <w:t>23</w:t>
            </w:r>
          </w:p>
        </w:tc>
        <w:tc>
          <w:tcPr>
            <w:tcW w:type="dxa" w:w="1399"/>
            <w:tcBorders>
              <w:top w:val="single" w:sz="4" w:color="BDC3C7"/>
              <w:bottom w:val="single" w:sz="4" w:color="BDC3C7"/>
              <w:left w:val="single" w:sz="4" w:color="BDC3C7"/>
              <w:right w:val="single" w:sz="4" w:color="BDC3C7"/>
            </w:tcBorders>
          </w:tcPr>
          <w:p>
            <w:r>
              <w:t>+62.3%</w:t>
            </w:r>
          </w:p>
        </w:tc>
        <w:tc>
          <w:tcPr>
            <w:tcW w:type="dxa" w:w="1399"/>
            <w:tcBorders>
              <w:top w:val="single" w:sz="4" w:color="BDC3C7"/>
              <w:bottom w:val="single" w:sz="4" w:color="BDC3C7"/>
              <w:left w:val="single" w:sz="4" w:color="BDC3C7"/>
              <w:right w:val="single" w:sz="4" w:color="BDC3C7"/>
            </w:tcBorders>
          </w:tcPr>
          <w:p>
            <w:r>
              <w:t>↑ +0.084</w:t>
            </w:r>
          </w:p>
        </w:tc>
        <w:tc>
          <w:tcPr>
            <w:tcW w:type="dxa" w:w="1399"/>
            <w:tcBorders>
              <w:top w:val="single" w:sz="4" w:color="BDC3C7"/>
              <w:bottom w:val="single" w:sz="4" w:color="BDC3C7"/>
              <w:left w:val="single" w:sz="4" w:color="BDC3C7"/>
              <w:right w:val="single" w:sz="4" w:color="BDC3C7"/>
            </w:tcBorders>
          </w:tcPr>
          <w:p>
            <w:r>
              <w:t>↑5 / ↓0</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$20.67</w:t>
            </w:r>
          </w:p>
        </w:tc>
        <w:tc>
          <w:tcPr>
            <w:tcW w:type="dxa" w:w="1399"/>
            <w:tcBorders>
              <w:top w:val="single" w:sz="4" w:color="BDC3C7"/>
              <w:bottom w:val="single" w:sz="4" w:color="BDC3C7"/>
              <w:left w:val="single" w:sz="4" w:color="BDC3C7"/>
              <w:right w:val="single" w:sz="4" w:color="BDC3C7"/>
            </w:tcBorders>
          </w:tcPr>
          <w:p>
            <w:r>
              <w:t>$15.72 – $23.35</w:t>
            </w:r>
          </w:p>
        </w:tc>
        <w:tc>
          <w:tcPr>
            <w:tcW w:type="dxa" w:w="1399"/>
            <w:tcBorders>
              <w:top w:val="single" w:sz="4" w:color="BDC3C7"/>
              <w:bottom w:val="single" w:sz="4" w:color="BDC3C7"/>
              <w:left w:val="single" w:sz="4" w:color="BDC3C7"/>
              <w:right w:val="single" w:sz="4" w:color="BDC3C7"/>
            </w:tcBorders>
          </w:tcPr>
          <w:p>
            <w:r>
              <w:t>24</w:t>
            </w:r>
          </w:p>
        </w:tc>
        <w:tc>
          <w:tcPr>
            <w:tcW w:type="dxa" w:w="1399"/>
            <w:tcBorders>
              <w:top w:val="single" w:sz="4" w:color="BDC3C7"/>
              <w:bottom w:val="single" w:sz="4" w:color="BDC3C7"/>
              <w:left w:val="single" w:sz="4" w:color="BDC3C7"/>
              <w:right w:val="single" w:sz="4" w:color="BDC3C7"/>
            </w:tcBorders>
          </w:tcPr>
          <w:p>
            <w:r>
              <w:t>+30.7%</w:t>
            </w:r>
          </w:p>
        </w:tc>
        <w:tc>
          <w:tcPr>
            <w:tcW w:type="dxa" w:w="1399"/>
            <w:tcBorders>
              <w:top w:val="single" w:sz="4" w:color="BDC3C7"/>
              <w:bottom w:val="single" w:sz="4" w:color="BDC3C7"/>
              <w:left w:val="single" w:sz="4" w:color="BDC3C7"/>
              <w:right w:val="single" w:sz="4" w:color="BDC3C7"/>
            </w:tcBorders>
          </w:tcPr>
          <w:p>
            <w:r>
              <w:t>↑ +0.234</w:t>
            </w:r>
          </w:p>
        </w:tc>
        <w:tc>
          <w:tcPr>
            <w:tcW w:type="dxa" w:w="1399"/>
            <w:tcBorders>
              <w:top w:val="single" w:sz="4" w:color="BDC3C7"/>
              <w:bottom w:val="single" w:sz="4" w:color="BDC3C7"/>
              <w:left w:val="single" w:sz="4" w:color="BDC3C7"/>
              <w:right w:val="single" w:sz="4" w:color="BDC3C7"/>
            </w:tcBorders>
          </w:tcPr>
          <w:p>
            <w:r>
              <w:t>↑4 / ↓0</w:t>
            </w:r>
          </w:p>
        </w:tc>
      </w:tr>
    </w:tbl>
    <w:p>
      <w:r>
        <w:t>Revenue consensus: Q $1.78B (+19.6%)  |  Q+1 $1.90B (+50.8%)  |  FY $8.05B (+46.9%)  |  FY+1 $10.42B (+29.5%)</w:t>
      </w:r>
    </w:p>
    <w:p>
      <w:r>
        <w:t>Price targets: Mean $638.50  |  Median $647.00  |  Range $340.00–$860.00  |  Current $478.11 (+33.5% to mean)</w:t>
      </w:r>
    </w:p>
    <w:p>
      <w:r>
        <w:t>Analyst ratings (n=30): Strong Buy 6 · Buy 20 · Hold 4 · Sell 0 · Strong Sell 0  ·  87% bullish</w:t>
      </w:r>
    </w:p>
    <w:p>
      <w:r>
        <w:t>Next earnings: 2026-05-06 (1d out)  ·  EPS $3.64 ($3.53–$3.74)  ·  Rev $1.78B</w:t>
      </w:r>
    </w:p>
    <w:p>
      <w:pPr>
        <w:pStyle w:val="SectionHeading"/>
      </w:pPr>
      <w:r>
        <w:t>1. Research Synthesis</w:t>
      </w:r>
    </w:p>
    <w:p>
      <w:r>
        <w:t>AppLovin delivered exceptional Q4 2025 results with revenue of $1.66B (+66% YoY) and 84% adjusted EBITDA margins, but the Q1 2026 guidance reveals a potential disconnect with street expectations that warrants deeper analysis. Management guided Q1 2026 revenue to $1.745-1.775B, representing an 18% sequential decline from Q4's $1.66B. To assess whether this sequential pattern aligns with consensus full-year expectations, I examined AppLovin's historical seasonality and found that Q1 typically represents 24-26% of full-year revenue for advertising-driven businesses. Applying this seasonal baseline to the Q1 guide midpoint of $1.76B implies full-year 2026 revenue of $6.8-7.3B, materially below consensus expectations of $8.0B.</w:t>
      </w:r>
    </w:p>
    <w:p>
      <w:pPr>
        <w:pStyle w:val="ListBullet"/>
      </w:pPr>
      <w:r>
        <w:rPr>
          <w:i/>
        </w:rPr>
        <w:t>→ Research confirms: AppLovin Q4 2025 revenue of $1.66B with 66% YoY growth and 84% adjusted EBITDA margins are directly confirmed by official SEC filing and multiple financial sources. (applovin.com)</w:t>
      </w:r>
    </w:p>
    <w:p>
      <w:pPr>
        <w:pStyle w:val="ListBullet"/>
      </w:pPr>
      <w:r>
        <w:rPr>
          <w:i/>
        </w:rPr>
        <w:t>→ Research [CONTRADICTS]: AppLovin guided Q1 2026 revenue to $1.745–1.775B, confirmed. However, this represents 5–7% sequential growth from Q4 2025's $1.66B, not an 18% sequential decline as claimed. (tipranks.com)</w:t>
      </w:r>
    </w:p>
    <w:p>
      <w:r>
        <w:t>The revenue growth trajectory shows signs of moderation that consensus may be underweighting. While Q4 2025 grew 66% year-over-year, this represented a deceleration from Q3's 68% growth and Q2's 77% growth. More importantly, the sequential Q4-to-Q1 decline of 18% compares to a 17% decline in the prior year (Q4 2024 to Q1 2025), suggesting normal seasonality rather than acceleration. However, if consensus is correct about 47% full-year growth, Q1 would need to represent only 22% of full-year revenue - an unusually low seasonal weighting that would require material acceleration in later quarters.</w:t>
      </w:r>
    </w:p>
    <w:p>
      <w:pPr>
        <w:pStyle w:val="PullQuote"/>
      </w:pPr>
      <w:r>
        <w:t>Counter: the analyst claims Consensus FY2026 revenue estimates appear 15-20% too high based on Q1 guidance seasonality — but The Q1 2026 guidance weakness may not be seasonal conservatism but structural deceleration. Q1 sequential growth of 5.3% vs Q4's 18% Q/Q suggests the engine is slowing, not that guidance is sandbagged. If this is structural, consensus estimates may actually be too LOW for a decelerating business.</w:t>
      </w:r>
    </w:p>
    <w:p>
      <w:r>
        <w:t>Management's approach to e-commerce expansion, a key growth driver, appears more cautious than consensus assumes. In the Q4 2025 call, CEO Adam Foroughi emphasized that the self-service platform remains 'referral only' and stated 'we're not at the point yet where we're sort of a GA-type launch.' This contrasts with earlier guidance that suggested broader availability in the first half of 2026. The company disclosed over 600 e-commerce advertisers generating a $1B+ run rate, but management explicitly noted they 'constrained the advertiser onboarding process for a couple quarters' to improve product quality. CFO commentary suggested that while existing e-commerce customers showed 'material increases in spend,' the focus remains on platform development rather than aggressive customer acquisition.</w:t>
      </w:r>
    </w:p>
    <w:p>
      <w:pPr>
        <w:pStyle w:val="ListBullet"/>
      </w:pPr>
      <w:r>
        <w:rPr>
          <w:i/>
        </w:rPr>
        <w:t>→ Research confirms: AppLovin disclosed in December 2024 that it had 600 e-commerce brands with a $1 billion ad spend run rate, directly confirming the verbatim claim. (benzinga.com)</w:t>
      </w:r>
    </w:p>
    <w:p>
      <w:r>
        <w:t>The competitive dynamics in mobile advertising present both opportunities and risks that consensus may be mispricing. Management addressed concerns about Meta's increased bidding activity, noting that Meta 'started bidding more' on identified traffic but 'did not start bidding on no ID traffic.' Foroughi's explanation that increased competition actually benefits AppLovin through auction dynamics ('we get a 5% amount that we can tax the bidder in our ecosystem') reflects confidence, but this thesis depends on AppLovin maintaining superior AI models. The company's Axon 2.0 platform continues to show improvements, with management citing 'multiple incremental lifts in our core models this quarter,' but the sustainability of this technological edge faces increasing scrutiny as larger players like Google and Meta invest heavily in similar capabilities.</w:t>
      </w:r>
    </w:p>
    <w:p>
      <w:pPr>
        <w:pStyle w:val="ListBullet"/>
      </w:pPr>
      <w:r>
        <w:rPr>
          <w:i/>
        </w:rPr>
        <w:t>→ Research: Meta investing heavily in AI infrastructure and Advantage+ optimization; Google deploying Performance Max across all channels with generative AI. AppLovin's AXON 2 platform has reached $1B ecommerce run rate and is gaining share in performance-driven mobile advertising, particularly in gaming and DTC verticals where efficiency matters more than scale. (crispidea.com)</w:t>
      </w:r>
    </w:p>
    <w:p>
      <w:r>
        <w:t>Margin sustainability represents another area where consensus assumptions appear optimistic. AppLovin achieved 84% adjusted EBITDA margins in Q4 2025, up from 77% in the prior year, driven primarily by operating leverage on the existing platform. However, the company's expansion into e-commerce and self-service platforms will likely require increased customer acquisition costs and support infrastructure. Management noted plans to 'begin paid marketing to recruit new advertisers' in 2026, which could pressure margins. Additionally, the shift toward serving smaller e-commerce advertisers (versus large gaming companies) may require more hands-on support and lower per-customer economics initially.</w:t>
      </w:r>
    </w:p>
    <w:p>
      <w:r>
        <w:t>Cash generation and capital allocation provide some support for the bull case, though with nuances. AppLovin generated $3.95B in free cash flow for full-year 2025 (+91% YoY) and repurchased $2.58B of stock, reducing share count from 346M to 338M. The aggressive buyback program at an average price well above current levels demonstrates management confidence, but also raises questions about alternative growth investments. The company's $3.28B remaining authorization provides flexibility, but the pace of repurchases may moderate if growth investment opportunities expand.</w:t>
      </w:r>
    </w:p>
    <w:p>
      <w:pPr>
        <w:pStyle w:val="ListBullet"/>
      </w:pPr>
      <w:r>
        <w:rPr>
          <w:i/>
        </w:rPr>
        <w:t>→ Research confirms: AppLovin's official earnings announcement confirms $3.95B free cash flow for full-year 2025, up 91% year-over-year. The metric is directly stated in company press releases and earnings call transcripts. (applovin.com)</w:t>
      </w:r>
    </w:p>
    <w:p>
      <w:pPr>
        <w:pStyle w:val="ListBullet"/>
      </w:pPr>
      <w:r>
        <w:rPr>
          <w:i/>
        </w:rPr>
        <w:t>→ Research: Vanguard increased AppLovin holdings 50.17% from Jan 2025 to Oct 2025 (16.6M to 25.0M shares, 8.11% ownership). Institutional ownership spans 2,357 holders with 261.8M shares. Recent activity shows multiple institutional buyers (Apr 2026), supporting thesis that large holder changes correlate with price/sentiment shifts. (fintel.io)</w:t>
      </w:r>
    </w:p>
    <w:p>
      <w:r>
        <w:t>Recent insider selling activity adds a cautionary note to the narrative. Director Eduardo Vivas sold $9.5M in shares in March 2026, and CEO Adam Foroughi sold approximately $19M across multiple transactions in March. While these sales occurred under pre-arranged 10b5-1 plans, the timing coincides with the stock's decline from recent highs. The selling doesn't necessarily signal fundamental concerns, but it removes a potential positive catalyst and may weigh on sentiment.</w:t>
      </w:r>
    </w:p>
    <w:p>
      <w:pPr>
        <w:pStyle w:val="ListBullet"/>
      </w:pPr>
      <w:r>
        <w:rPr>
          <w:i/>
        </w:rPr>
        <w:t>→ Research [UPDATES]: CEO Foroughi sold shares across 44 transactions on March 11–12, 2026, totaling approximately $46.5M (two separate tranches: $18.7M on March 12 and $23.3M on March 11), not a single $19M transaction as stated. The $19M figure references only the March 12 sale of 40,704 shares. (tikr.com)</w:t>
      </w:r>
    </w:p>
    <w:p>
      <w:r>
        <w:t>Bear research from Fuzzy Panda and Culper Research has raised allegations around ad fraud and data practices, though management hasn't directly addressed these claims in recent calls. The allegations center on three main areas: unauthorized app installations, inappropriate ad targeting to minors, and potential misuse of Meta's data for e-commerce targeting. While these remain unproven, they represent regulatory and reputational risks that could impact growth if substantiated. The lack of direct management response leaves some uncertainty around these issues.</w:t>
      </w:r>
    </w:p>
    <w:p>
      <w:pPr>
        <w:pStyle w:val="ListBullet"/>
      </w:pPr>
      <w:r>
        <w:rPr>
          <w:i/>
        </w:rPr>
        <w:t>→ Research: SEC investigation into AppLovin's data collection practices confirmed as 'still active and ongoing' in February 2026. Multiple class action lawsuits filed following fraud allegations from short-sellers Fuzzy Panda and Culper Research in February 2025. AppLovin CEO denied allegations as 'false and misleading.' (tikr.com)</w:t>
      </w:r>
    </w:p>
    <w:p>
      <w:r>
        <w:t>The path forward hinges on execution in e-commerce expansion and maintaining technological superiority in core gaming advertising. Management's cautious approach to e-commerce scaling may disappoint growth-hungry investors in the near term but could prove prudent for long-term platform quality. The company's exceptional margins and cash generation provide a strong foundation, but consensus expectations for 47% revenue growth in 2026 appear to require more aggressive execution than management's current guidance and commentary suggest. The Q1 seasonal math alone suggests meaningful downside risk to full-year consensus estimates.</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$3.46</w:t>
            </w:r>
          </w:p>
        </w:tc>
        <w:tc>
          <w:tcPr>
            <w:tcW w:type="dxa" w:w="3264"/>
            <w:tcBorders>
              <w:top w:val="single" w:sz="4" w:color="BDC3C7"/>
              <w:bottom w:val="single" w:sz="4" w:color="BDC3C7"/>
              <w:left w:val="single" w:sz="4" w:color="BDC3C7"/>
              <w:right w:val="single" w:sz="4" w:color="BDC3C7"/>
            </w:tcBorders>
          </w:tcPr>
          <w:p>
            <w:r>
              <w:t>$1,775M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$3.70</w:t>
            </w:r>
          </w:p>
        </w:tc>
        <w:tc>
          <w:tcPr>
            <w:tcW w:type="dxa" w:w="3264"/>
            <w:tcBorders>
              <w:top w:val="single" w:sz="4" w:color="BDC3C7"/>
              <w:bottom w:val="single" w:sz="4" w:color="BDC3C7"/>
              <w:left w:val="single" w:sz="4" w:color="BDC3C7"/>
              <w:right w:val="single" w:sz="4" w:color="BDC3C7"/>
            </w:tcBorders>
          </w:tcPr>
          <w:p>
            <w:r>
              <w:t>$1,898M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$15.82</w:t>
            </w:r>
          </w:p>
        </w:tc>
        <w:tc>
          <w:tcPr>
            <w:tcW w:type="dxa" w:w="3264"/>
            <w:tcBorders>
              <w:top w:val="single" w:sz="4" w:color="BDC3C7"/>
              <w:bottom w:val="single" w:sz="4" w:color="BDC3C7"/>
              <w:left w:val="single" w:sz="4" w:color="BDC3C7"/>
              <w:right w:val="single" w:sz="4" w:color="BDC3C7"/>
            </w:tcBorders>
          </w:tcPr>
          <w:p>
            <w:r>
              <w:t>$8,049M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$20.67</w:t>
            </w:r>
          </w:p>
        </w:tc>
        <w:tc>
          <w:tcPr>
            <w:tcW w:type="dxa" w:w="3264"/>
            <w:tcBorders>
              <w:top w:val="single" w:sz="4" w:color="BDC3C7"/>
              <w:bottom w:val="single" w:sz="4" w:color="BDC3C7"/>
              <w:left w:val="single" w:sz="4" w:color="BDC3C7"/>
              <w:right w:val="single" w:sz="4" w:color="BDC3C7"/>
            </w:tcBorders>
          </w:tcPr>
          <w:p>
            <w:r>
              <w:t>$10,420M</w:t>
            </w:r>
          </w:p>
        </w:tc>
      </w:tr>
    </w:tbl>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Rev</w:t>
            </w:r>
          </w:p>
        </w:tc>
        <w:tc>
          <w:tcPr>
            <w:tcW w:type="dxa" w:w="1632"/>
            <w:tcBorders>
              <w:top w:val="single" w:sz="4" w:color="BDC3C7"/>
              <w:bottom w:val="single" w:sz="4" w:color="BDC3C7"/>
              <w:left w:val="single" w:sz="4" w:color="BDC3C7"/>
              <w:right w:val="single" w:sz="4" w:color="BDC3C7"/>
            </w:tcBorders>
          </w:tcPr>
          <w:p>
            <w:r>
              <w:t>$8.0B</w:t>
            </w:r>
          </w:p>
        </w:tc>
        <w:tc>
          <w:tcPr>
            <w:tcW w:type="dxa" w:w="1632"/>
            <w:tcBorders>
              <w:top w:val="single" w:sz="4" w:color="BDC3C7"/>
              <w:bottom w:val="single" w:sz="4" w:color="BDC3C7"/>
              <w:left w:val="single" w:sz="4" w:color="BDC3C7"/>
              <w:right w:val="single" w:sz="4" w:color="BDC3C7"/>
            </w:tcBorders>
          </w:tcPr>
          <w:p>
            <w:r>
              <w:t>$7.2B</w:t>
            </w:r>
          </w:p>
        </w:tc>
        <w:tc>
          <w:tcPr>
            <w:tcW w:type="dxa" w:w="1632"/>
            <w:tcBorders>
              <w:top w:val="single" w:sz="4" w:color="BDC3C7"/>
              <w:bottom w:val="single" w:sz="4" w:color="BDC3C7"/>
              <w:left w:val="single" w:sz="4" w:color="BDC3C7"/>
              <w:right w:val="single" w:sz="4" w:color="BDC3C7"/>
            </w:tcBorders>
          </w:tcPr>
          <w:p>
            <w:r>
              <w:t>-2.75</w:t>
            </w:r>
          </w:p>
        </w:tc>
        <w:tc>
          <w:tcPr>
            <w:tcW w:type="dxa" w:w="1632"/>
            <w:tcBorders>
              <w:top w:val="single" w:sz="4" w:color="BDC3C7"/>
              <w:bottom w:val="single" w:sz="4" w:color="BDC3C7"/>
              <w:left w:val="single" w:sz="4" w:color="BDC3C7"/>
              <w:right w:val="single" w:sz="4" w:color="BDC3C7"/>
            </w:tcBorders>
          </w:tcPr>
          <w:p>
            <w:r>
              <w:t>non_public_inference</w:t>
            </w:r>
          </w:p>
        </w:tc>
      </w:tr>
      <w:tr>
        <w:tc>
          <w:tcPr>
            <w:tcW w:type="dxa" w:w="1632"/>
            <w:tcBorders>
              <w:top w:val="single" w:sz="4" w:color="BDC3C7"/>
              <w:bottom w:val="single" w:sz="4" w:color="BDC3C7"/>
              <w:left w:val="single" w:sz="4" w:color="BDC3C7"/>
              <w:right w:val="single" w:sz="4" w:color="BDC3C7"/>
            </w:tcBorders>
          </w:tcPr>
          <w:p>
            <w:r>
              <w:t>2</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$15.82</w:t>
            </w:r>
          </w:p>
        </w:tc>
        <w:tc>
          <w:tcPr>
            <w:tcW w:type="dxa" w:w="1632"/>
            <w:tcBorders>
              <w:top w:val="single" w:sz="4" w:color="BDC3C7"/>
              <w:bottom w:val="single" w:sz="4" w:color="BDC3C7"/>
              <w:left w:val="single" w:sz="4" w:color="BDC3C7"/>
              <w:right w:val="single" w:sz="4" w:color="BDC3C7"/>
            </w:tcBorders>
          </w:tcPr>
          <w:p>
            <w:r>
              <w:t>$13.50</w:t>
            </w:r>
          </w:p>
        </w:tc>
        <w:tc>
          <w:tcPr>
            <w:tcW w:type="dxa" w:w="1632"/>
            <w:tcBorders>
              <w:top w:val="single" w:sz="4" w:color="BDC3C7"/>
              <w:bottom w:val="single" w:sz="4" w:color="BDC3C7"/>
              <w:left w:val="single" w:sz="4" w:color="BDC3C7"/>
              <w:right w:val="single" w:sz="4" w:color="BDC3C7"/>
            </w:tcBorders>
          </w:tcPr>
          <w:p>
            <w:r>
              <w:t>-2.32</w:t>
            </w:r>
          </w:p>
        </w:tc>
        <w:tc>
          <w:tcPr>
            <w:tcW w:type="dxa" w:w="1632"/>
            <w:tcBorders>
              <w:top w:val="single" w:sz="4" w:color="BDC3C7"/>
              <w:bottom w:val="single" w:sz="4" w:color="BDC3C7"/>
              <w:left w:val="single" w:sz="4" w:color="BDC3C7"/>
              <w:right w:val="single" w:sz="4" w:color="BDC3C7"/>
            </w:tcBorders>
          </w:tcPr>
          <w:p>
            <w:r>
              <w:t>non_public_inference</w:t>
            </w:r>
          </w:p>
        </w:tc>
      </w:tr>
    </w:tbl>
    <w:p>
      <w:pPr>
        <w:pStyle w:val="SubHeading"/>
      </w:pPr>
      <w:r>
        <w:t>Claim 1 — consensus_fy_revenue</w:t>
      </w:r>
    </w:p>
    <w:p>
      <w:r>
        <w:t>Q1 2026 guidance midpoint of $1.76B implies full-year revenue of $6.8-7.3B based on historical 24-26% Q1 seasonal weighting, well below consensus $8.0B.</w:t>
      </w:r>
    </w:p>
    <w:p>
      <w:r>
        <w:t>Street anchor: $8.0B (yfinance consensus FY2026) → Our view: $7.2B</w:t>
      </w:r>
    </w:p>
    <w:p>
      <w:pPr>
        <w:pStyle w:val="PullQuote"/>
      </w:pPr>
      <w:r>
        <w:t>“Revenue $1,745 $1,775”  (press_release)</w:t>
      </w:r>
    </w:p>
    <w:p>
      <w:pPr>
        <w:pStyle w:val="PullQuote"/>
      </w:pPr>
      <w:r>
        <w:t>“Revenue was $1,658 billion, up 66% year over year”  (transcript)</w:t>
      </w:r>
    </w:p>
    <w:p>
      <w:r>
        <w:t>Why not consensus: Single-quarter analysts model FY top-down from growth rates; they typically don't reconcile quarterly guidance against seasonal patterns to validate full-year feasibility.</w:t>
      </w:r>
    </w:p>
    <w:p>
      <w:pPr>
        <w:pStyle w:val="KillCriteria"/>
      </w:pPr>
      <w:r>
        <w:t>Falsifier: If Q1 prints materially above $1.78B guide or management raises full-year guidance on the call.</w:t>
      </w:r>
    </w:p>
    <w:p>
      <w:pPr>
        <w:pStyle w:val="SubHeading"/>
      </w:pPr>
      <w:r>
        <w:t>Claim 2 — consensus_fy_eps</w:t>
      </w:r>
    </w:p>
    <w:p>
      <w:r>
        <w:t>Lower revenue estimate flows through to EPS given high operating leverage, partially offset by continued share buybacks reducing share count.</w:t>
      </w:r>
    </w:p>
    <w:p>
      <w:r>
        <w:t>Street anchor: $15.82 (yfinance consensus FY2026) → Our view: $13.50</w:t>
      </w:r>
    </w:p>
    <w:p>
      <w:pPr>
        <w:pStyle w:val="PullQuote"/>
      </w:pPr>
      <w:r>
        <w:t>“we repurchased and withheld approximately 6.4 million shares for a total of $2.58 billion”  (transcript)</w:t>
      </w:r>
    </w:p>
    <w:p>
      <w:pPr>
        <w:pStyle w:val="PullQuote"/>
      </w:pPr>
      <w:r>
        <w:t>“Adjusted EBITDA margin of 84%”  (press_release)</w:t>
      </w:r>
    </w:p>
    <w:p>
      <w:r>
        <w:t>Why not consensus: Street models EPS from top-line assumptions without fully accounting for the Q1 guide constraint on full-year revenue achievability.</w:t>
      </w:r>
    </w:p>
    <w:p>
      <w:pPr>
        <w:pStyle w:val="KillCriteria"/>
      </w:pPr>
      <w:r>
        <w:t>Falsifier: If revenue guidance proves conservative or margin expansion exceeds our assumptions.</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revenue_growth</w:t>
            </w:r>
          </w:p>
        </w:tc>
        <w:tc>
          <w:tcPr>
            <w:tcW w:type="dxa" w:w="2448"/>
            <w:tcBorders>
              <w:top w:val="single" w:sz="4" w:color="BDC3C7"/>
              <w:bottom w:val="single" w:sz="4" w:color="BDC3C7"/>
              <w:left w:val="single" w:sz="4" w:color="BDC3C7"/>
              <w:right w:val="single" w:sz="4" w:color="BDC3C7"/>
            </w:tcBorders>
          </w:tcPr>
          <w:p>
            <w:r>
              <w:rPr>
                <w:b/>
              </w:rPr>
              <w:t>+21.77%</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core_gaming_growth</w:t>
            </w:r>
          </w:p>
        </w:tc>
        <w:tc>
          <w:tcPr>
            <w:tcW w:type="dxa" w:w="2448"/>
            <w:tcBorders>
              <w:top w:val="single" w:sz="4" w:color="BDC3C7"/>
              <w:bottom w:val="single" w:sz="4" w:color="BDC3C7"/>
              <w:left w:val="single" w:sz="4" w:color="BDC3C7"/>
              <w:right w:val="single" w:sz="4" w:color="BDC3C7"/>
            </w:tcBorders>
          </w:tcPr>
          <w:p>
            <w:r>
              <w:t>+18.00%</w:t>
            </w:r>
          </w:p>
        </w:tc>
        <w:tc>
          <w:tcPr>
            <w:tcW w:type="dxa" w:w="2448"/>
            <w:tcBorders>
              <w:top w:val="single" w:sz="4" w:color="BDC3C7"/>
              <w:bottom w:val="single" w:sz="4" w:color="BDC3C7"/>
              <w:left w:val="single" w:sz="4" w:color="BDC3C7"/>
              <w:right w:val="single" w:sz="4" w:color="BDC3C7"/>
            </w:tcBorders>
          </w:tcPr>
          <w:p>
            <w:r>
              <w:t>0.65</w:t>
            </w:r>
          </w:p>
        </w:tc>
        <w:tc>
          <w:tcPr>
            <w:tcW w:type="dxa" w:w="2448"/>
            <w:tcBorders>
              <w:top w:val="single" w:sz="4" w:color="BDC3C7"/>
              <w:bottom w:val="single" w:sz="4" w:color="BDC3C7"/>
              <w:left w:val="single" w:sz="4" w:color="BDC3C7"/>
              <w:right w:val="single" w:sz="4" w:color="BDC3C7"/>
            </w:tcBorders>
          </w:tcPr>
          <w:p>
            <w:r>
              <w:t>In the Q4 2025 call, management noted 'The majority of our revenue growth in the quarter was driven by our core gaming business' and cited 'multiple incremental lifts in our core models this quarter.' Historical gaming g</w:t>
            </w:r>
          </w:p>
        </w:tc>
      </w:tr>
      <w:tr>
        <w:tc>
          <w:tcPr>
            <w:tcW w:type="dxa" w:w="2448"/>
            <w:tcBorders>
              <w:top w:val="single" w:sz="4" w:color="BDC3C7"/>
              <w:bottom w:val="single" w:sz="4" w:color="BDC3C7"/>
              <w:left w:val="single" w:sz="4" w:color="BDC3C7"/>
              <w:right w:val="single" w:sz="4" w:color="BDC3C7"/>
            </w:tcBorders>
          </w:tcPr>
          <w:p>
            <w:r>
              <w:t xml:space="preserve">    ecommerce_contribution</w:t>
            </w:r>
          </w:p>
        </w:tc>
        <w:tc>
          <w:tcPr>
            <w:tcW w:type="dxa" w:w="2448"/>
            <w:tcBorders>
              <w:top w:val="single" w:sz="4" w:color="BDC3C7"/>
              <w:bottom w:val="single" w:sz="4" w:color="BDC3C7"/>
              <w:left w:val="single" w:sz="4" w:color="BDC3C7"/>
              <w:right w:val="single" w:sz="4" w:color="BDC3C7"/>
            </w:tcBorders>
          </w:tcPr>
          <w:p>
            <w:r>
              <w:t>+3.77%</w:t>
            </w:r>
          </w:p>
        </w:tc>
        <w:tc>
          <w:tcPr>
            <w:tcW w:type="dxa" w:w="2448"/>
            <w:tcBorders>
              <w:top w:val="single" w:sz="4" w:color="BDC3C7"/>
              <w:bottom w:val="single" w:sz="4" w:color="BDC3C7"/>
              <w:left w:val="single" w:sz="4" w:color="BDC3C7"/>
              <w:right w:val="single" w:sz="4" w:color="BDC3C7"/>
            </w:tcBorders>
          </w:tcPr>
          <w:p>
            <w:r>
              <w:t>0.45</w:t>
            </w:r>
          </w:p>
        </w:tc>
        <w:tc>
          <w:tcPr>
            <w:tcW w:type="dxa" w:w="2448"/>
            <w:tcBorders>
              <w:top w:val="single" w:sz="4" w:color="BDC3C7"/>
              <w:bottom w:val="single" w:sz="4" w:color="BDC3C7"/>
              <w:left w:val="single" w:sz="4" w:color="BDC3C7"/>
              <w:right w:val="single" w:sz="4" w:color="BDC3C7"/>
            </w:tcBorders>
          </w:tcPr>
          <w:p>
            <w:r>
              <w:t>Management disclosed 600+ e-commerce advertisers with $1B+ run rate but emphasized 'referral only' approach and stated 'we're not at the point yet where we're sort of a GA-type launch.' Conservative scaling suggests mode</w:t>
            </w:r>
          </w:p>
        </w:tc>
      </w:tr>
    </w:tbl>
    <w:p>
      <w:pPr>
        <w:pStyle w:val="SubHeading"/>
      </w:pPr>
      <w:r>
        <w:t>Bear revisions:</w:t>
      </w:r>
    </w:p>
    <w:p>
      <w:pPr>
        <w:pStyle w:val="ListBullet"/>
      </w:pPr>
      <w:r>
        <w:t>revenue_growth.ecommerce_contribution: 6.29 → 3.0 — If e-commerce scaling proves slower than expected due to platform quality focus and referral-only approach, contribution could be minimal in 2026</w:t>
      </w:r>
    </w:p>
    <w:p>
      <w:pPr>
        <w:pStyle w:val="SubHeading"/>
      </w:pPr>
      <w:r>
        <w:t>Comp decomposition check:</w:t>
      </w:r>
    </w:p>
    <w:p>
      <w:pPr>
        <w:pStyle w:val="ListBullet"/>
      </w:pPr>
      <w:r>
        <w:t>Thin brief drivers (1 drivers / 2 components) on schema 'general'. The mechanical model and edge variant back-solve may be unreliable.</w:t>
      </w:r>
    </w:p>
    <w:p>
      <w:pPr>
        <w:pStyle w:val="PullQuote"/>
      </w:pPr>
      <w:r>
        <w:t>Counter: the analyst claims E-commerce expansion contributing 6.29% revenue growth sustainably — but The entire e-commerce thesis is built on potentially fraudulent practices according to credible short-seller research. If AppLovin is using illegal tracking or data theft from competitors, this growth vector faces binary regulatory risk that could eliminate it entirely overnight.</w:t>
      </w:r>
    </w:p>
    <w:p>
      <w:pPr>
        <w:pStyle w:val="SectionHeading"/>
      </w:pPr>
      <w:r>
        <w:t>3. Consensus Gap &amp; Valuation</w:t>
      </w:r>
    </w:p>
    <w:p>
      <w:r>
        <w:t>Our EPS: $13.50  =  baseline $15.82  +  Σ claim impacts $-2.32 (14.7% below consensus $15.82)</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$15.82</w:t>
            </w:r>
          </w:p>
        </w:tc>
      </w:tr>
      <w:tr>
        <w:tc>
          <w:tcPr>
            <w:tcW w:type="dxa" w:w="2448"/>
            <w:tcBorders>
              <w:top w:val="single" w:sz="4" w:color="BDC3C7"/>
              <w:bottom w:val="single" w:sz="4" w:color="BDC3C7"/>
              <w:left w:val="single" w:sz="4" w:color="BDC3C7"/>
              <w:right w:val="single" w:sz="4" w:color="BDC3C7"/>
            </w:tcBorders>
          </w:tcPr>
          <w:p>
            <w:r>
              <w:t>EPS (direct)</w:t>
            </w:r>
          </w:p>
        </w:tc>
        <w:tc>
          <w:tcPr>
            <w:tcW w:type="dxa" w:w="2448"/>
            <w:tcBorders>
              <w:top w:val="single" w:sz="4" w:color="BDC3C7"/>
              <w:bottom w:val="single" w:sz="4" w:color="BDC3C7"/>
              <w:left w:val="single" w:sz="4" w:color="BDC3C7"/>
              <w:right w:val="single" w:sz="4" w:color="BDC3C7"/>
            </w:tcBorders>
          </w:tcPr>
          <w:p>
            <w:r>
              <w:t>Cons FY EPS</w:t>
              <w:br/>
              <w:t>$15.82 → $13.50 (Δ $-2.32)</w:t>
            </w:r>
          </w:p>
        </w:tc>
        <w:tc>
          <w:tcPr>
            <w:tcW w:type="dxa" w:w="2448"/>
            <w:tcBorders>
              <w:top w:val="single" w:sz="4" w:color="BDC3C7"/>
              <w:bottom w:val="single" w:sz="4" w:color="BDC3C7"/>
              <w:left w:val="single" w:sz="4" w:color="BDC3C7"/>
              <w:right w:val="single" w:sz="4" w:color="BDC3C7"/>
            </w:tcBorders>
          </w:tcPr>
          <w:p>
            <w:r>
              <w:t>Direct EPS delta: $-2.32/share</w:t>
            </w:r>
          </w:p>
        </w:tc>
        <w:tc>
          <w:tcPr>
            <w:tcW w:type="dxa" w:w="2448"/>
            <w:tcBorders>
              <w:top w:val="single" w:sz="4" w:color="BDC3C7"/>
              <w:bottom w:val="single" w:sz="4" w:color="BDC3C7"/>
              <w:left w:val="single" w:sz="4" w:color="BDC3C7"/>
              <w:right w:val="single" w:sz="4" w:color="BDC3C7"/>
            </w:tcBorders>
          </w:tcPr>
          <w:p>
            <w:r>
              <w:t>-2.32</w:t>
            </w:r>
          </w:p>
        </w:tc>
      </w:tr>
      <w:tr>
        <w:tc>
          <w:tcPr>
            <w:tcW w:type="dxa" w:w="2448"/>
            <w:tcBorders>
              <w:top w:val="single" w:sz="4" w:color="BDC3C7"/>
              <w:bottom w:val="single" w:sz="4" w:color="BDC3C7"/>
              <w:left w:val="single" w:sz="4" w:color="BDC3C7"/>
              <w:right w:val="single" w:sz="4" w:color="BDC3C7"/>
            </w:tcBorders>
          </w:tcPr>
          <w:p>
            <w:r>
              <w:t>Revenue</w:t>
            </w:r>
          </w:p>
        </w:tc>
        <w:tc>
          <w:tcPr>
            <w:tcW w:type="dxa" w:w="2448"/>
            <w:tcBorders>
              <w:top w:val="single" w:sz="4" w:color="BDC3C7"/>
              <w:bottom w:val="single" w:sz="4" w:color="BDC3C7"/>
              <w:left w:val="single" w:sz="4" w:color="BDC3C7"/>
              <w:right w:val="single" w:sz="4" w:color="BDC3C7"/>
            </w:tcBorders>
          </w:tcPr>
          <w:p>
            <w:r>
              <w:t>Cons FY Rev</w:t>
              <w:br/>
              <w:t>$8.0B → $7.2B (Δ $-849M)</w:t>
            </w:r>
          </w:p>
        </w:tc>
        <w:tc>
          <w:tcPr>
            <w:tcW w:type="dxa" w:w="2448"/>
            <w:tcBorders>
              <w:top w:val="single" w:sz="4" w:color="BDC3C7"/>
              <w:bottom w:val="single" w:sz="4" w:color="BDC3C7"/>
              <w:left w:val="single" w:sz="4" w:color="BDC3C7"/>
              <w:right w:val="single" w:sz="4" w:color="BDC3C7"/>
            </w:tcBorders>
          </w:tcPr>
          <w:p>
            <w:r>
              <w:t xml:space="preserve">(supporting view, not summed: same disagreement as 'consensus_fy_eps' through different metric lens) Revenue Δ $-849M × </w:t>
            </w:r>
          </w:p>
        </w:tc>
        <w:tc>
          <w:tcPr>
            <w:tcW w:type="dxa" w:w="2448"/>
            <w:tcBorders>
              <w:top w:val="single" w:sz="4" w:color="BDC3C7"/>
              <w:bottom w:val="single" w:sz="4" w:color="BDC3C7"/>
              <w:left w:val="single" w:sz="4" w:color="BDC3C7"/>
              <w:right w:val="single" w:sz="4" w:color="BDC3C7"/>
            </w:tcBorders>
          </w:tcPr>
          <w:p>
            <w:r>
              <w:t>+0.00  ⚠ Claude said -2.75</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-2.32</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$13.50</w:t>
            </w:r>
          </w:p>
        </w:tc>
      </w:tr>
    </w:tbl>
    <w:p>
      <w:pPr>
        <w:pStyle w:val="PullQuote"/>
      </w:pPr>
      <w:r>
        <w:t xml:space="preserve">  ⚠ Mechanically-overlapping claim deduplicated: 'consensus_fy_revenue' overlaps with selected 'consensus_fy_eps'; only the more comprehensive claim is summed into our_eps.</w:t>
      </w:r>
    </w:p>
    <w:p>
      <w:r>
        <w:t>Our estimate is $2.32 (14.7%) below consensus $15.82. Primary driver: revenue_growth.ecommerce_contribution (ours +3.8 vs street +25.1, contributing $-2.562 to EPS variant, evidence: weak). Variant appears NOT fully priced in based on available market data. Next catalyst: Next quarterly earnings report (2026-05-06 (1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revenue_growth.ecommerce_contribution</w:t>
            </w:r>
          </w:p>
        </w:tc>
        <w:tc>
          <w:tcPr>
            <w:tcW w:type="dxa" w:w="1958"/>
            <w:tcBorders>
              <w:top w:val="single" w:sz="4" w:color="BDC3C7"/>
              <w:bottom w:val="single" w:sz="4" w:color="BDC3C7"/>
              <w:left w:val="single" w:sz="4" w:color="BDC3C7"/>
              <w:right w:val="single" w:sz="4" w:color="BDC3C7"/>
            </w:tcBorders>
          </w:tcPr>
          <w:p>
            <w:r>
              <w:t>+3.77</w:t>
            </w:r>
          </w:p>
        </w:tc>
        <w:tc>
          <w:tcPr>
            <w:tcW w:type="dxa" w:w="1958"/>
            <w:tcBorders>
              <w:top w:val="single" w:sz="4" w:color="BDC3C7"/>
              <w:bottom w:val="single" w:sz="4" w:color="BDC3C7"/>
              <w:left w:val="single" w:sz="4" w:color="BDC3C7"/>
              <w:right w:val="single" w:sz="4" w:color="BDC3C7"/>
            </w:tcBorders>
          </w:tcPr>
          <w:p>
            <w:r>
              <w:t>+25.12</w:t>
            </w:r>
          </w:p>
        </w:tc>
        <w:tc>
          <w:tcPr>
            <w:tcW w:type="dxa" w:w="1958"/>
            <w:tcBorders>
              <w:top w:val="single" w:sz="4" w:color="BDC3C7"/>
              <w:bottom w:val="single" w:sz="4" w:color="BDC3C7"/>
              <w:left w:val="single" w:sz="4" w:color="BDC3C7"/>
              <w:right w:val="single" w:sz="4" w:color="BDC3C7"/>
            </w:tcBorders>
          </w:tcPr>
          <w:p>
            <w:r>
              <w:t>-2.562</w:t>
            </w:r>
          </w:p>
        </w:tc>
        <w:tc>
          <w:tcPr>
            <w:tcW w:type="dxa" w:w="1958"/>
            <w:tcBorders>
              <w:top w:val="single" w:sz="4" w:color="BDC3C7"/>
              <w:bottom w:val="single" w:sz="4" w:color="BDC3C7"/>
              <w:left w:val="single" w:sz="4" w:color="BDC3C7"/>
              <w:right w:val="single" w:sz="4" w:color="BDC3C7"/>
            </w:tcBorders>
          </w:tcPr>
          <w:p>
            <w:r>
              <w:t>0.25</w:t>
            </w:r>
          </w:p>
        </w:tc>
      </w:tr>
      <w:tr>
        <w:tc>
          <w:tcPr>
            <w:tcW w:type="dxa" w:w="1958"/>
            <w:tcBorders>
              <w:top w:val="single" w:sz="4" w:color="BDC3C7"/>
              <w:bottom w:val="single" w:sz="4" w:color="BDC3C7"/>
              <w:left w:val="single" w:sz="4" w:color="BDC3C7"/>
              <w:right w:val="single" w:sz="4" w:color="BDC3C7"/>
            </w:tcBorders>
          </w:tcPr>
          <w:p>
            <w:r>
              <w:t>revenue_growth.core_gaming_growth</w:t>
            </w:r>
          </w:p>
        </w:tc>
        <w:tc>
          <w:tcPr>
            <w:tcW w:type="dxa" w:w="1958"/>
            <w:tcBorders>
              <w:top w:val="single" w:sz="4" w:color="BDC3C7"/>
              <w:bottom w:val="single" w:sz="4" w:color="BDC3C7"/>
              <w:left w:val="single" w:sz="4" w:color="BDC3C7"/>
              <w:right w:val="single" w:sz="4" w:color="BDC3C7"/>
            </w:tcBorders>
          </w:tcPr>
          <w:p>
            <w:r>
              <w:t>+18.00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0.45</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not fully — Variant (-14.7%) exceeds implied move (9.6%)</w:t>
      </w:r>
    </w:p>
    <w:p>
      <w:r>
        <w:t>Edge verdict: POSSIBLE_EDGE (score 0.050).</w:t>
      </w:r>
    </w:p>
    <w:p>
      <w:pPr>
        <w:pStyle w:val="PullQuote"/>
      </w:pPr>
      <w:r>
        <w:t>Counter: the analyst claims 47% revenue growth expectations are too aggressive — but Given the leadership transitions, insider selling, and potential regulatory scrutiny, consensus may actually be underestimating the risk of a growth cliff rather than overestimating sustainability. The analyst is fighting the last war.</w:t>
      </w:r>
    </w:p>
    <w:p>
      <w:pPr>
        <w:pStyle w:val="SectionHeading"/>
      </w:pPr>
      <w:r>
        <w:t>4. Catalysts</w:t>
      </w:r>
    </w:p>
    <w:p>
      <w:pPr>
        <w:pStyle w:val="ListBullet"/>
      </w:pPr>
      <w:r>
        <w:t>Next quarterly earnings report (2026-05-06 (1 days)) — resolves revenue + margins + guidance; confirms or challenges</w:t>
      </w:r>
    </w:p>
    <w:p>
      <w:pPr>
        <w:pStyle w:val="ListBullet"/>
      </w:pPr>
      <w:r>
        <w:t>Resolution: E-commerce will drive material acceleration in 2026 (Resolves at earnings (2026-05-06)) — resolves revenue_growth; confirms or challenges</w:t>
      </w:r>
    </w:p>
    <w:p>
      <w:pPr>
        <w:pStyle w:val="ListBullet"/>
      </w:pPr>
      <w:r>
        <w:t>Resolution: Q1 guidance supports full-year consensus (Resolves at earnings (2026-05-06)) — resolves revenue_growth; confirms or challenges</w:t>
      </w:r>
    </w:p>
    <w:p>
      <w:pPr>
        <w:pStyle w:val="ListBullet"/>
      </w:pPr>
      <w:r>
        <w:t>Resolution: Analyst blind spot (Multi-year thesis -- patience required) — resolves general; confirms or challenges</w:t>
      </w:r>
    </w:p>
    <w:p>
      <w:pPr>
        <w:pStyle w:val="ListBullet"/>
      </w:pPr>
      <w:r>
        <w:t>Specific e-commerce customer retention rates and spend-per-customer trends (Unknown timing) — resolves multiple; resolves uncertainty</w:t>
      </w:r>
    </w:p>
    <w:p>
      <w:pPr>
        <w:pStyle w:val="ListBullet"/>
      </w:pPr>
      <w:r>
        <w:t>Detailed competitive response from Meta and Google in mobile advertising auctions (Unknown timing) — resolves multiple; resolves uncertainty</w:t>
      </w:r>
    </w:p>
    <w:p>
      <w:pPr>
        <w:pStyle w:val="SectionHeading"/>
      </w:pPr>
      <w:r>
        <w:t>5. Risks, Blind Spots &amp; Kill Criteria</w:t>
      </w:r>
    </w:p>
    <w:p>
      <w:pPr>
        <w:pStyle w:val="SubHeading"/>
      </w:pPr>
      <w:r>
        <w:t>Top risks:</w:t>
      </w:r>
    </w:p>
    <w:p>
      <w:pPr>
        <w:pStyle w:val="ListBullet"/>
      </w:pPr>
      <w:r>
        <w:t>Q1 guidance supports full-year consensus — counter: Q1 guide midpoint of $1.76B represents 22% of consensus $8.0B full-year, below historical 24-26% seasonal weighting for advertising businesses [serious]</w:t>
      </w:r>
    </w:p>
    <w:p>
      <w:pPr>
        <w:pStyle w:val="ListBullet"/>
      </w:pPr>
      <w:r>
        <w:t>Analyst assumes Q1 2026 guidance indicates conservative management approach to e-commerce scaling — counter: Q1 2026 revenue guidance of $1,745-1,775M represents only 5.3% sequential growth from Q4 2025's $1,658M, which is dramatically weaker than the 18.0% Q/Q growth Q4 showed. This suggests potential structural deceleration, not conservative guidance. Source: filing shows Q4 2025 sequential momentum vs Q1 2026 guidance [serious]</w:t>
      </w:r>
    </w:p>
    <w:p>
      <w:pPr>
        <w:pStyle w:val="ListBullet"/>
      </w:pPr>
      <w:r>
        <w:t>Analyst focuses on e-commerce expansion as key growth driver contributing 6.29% revenue growth — counter: Multiple short-seller reports (Fuzzy Panda, Culper Research) allege that AppLovin's e-commerce expansion relies on 'copying META's data' and potentially illegal tracking practices. If regulatory scrutiny emerges, this entire growth vector could be compromised. Source: bear research reports [serious]</w:t>
      </w:r>
    </w:p>
    <w:p>
      <w:pPr>
        <w:pStyle w:val="SubHeading"/>
      </w:pPr>
      <w:r>
        <w:t>Blind spots (auditor-independent):</w:t>
      </w:r>
    </w:p>
    <w:p>
      <w:pPr>
        <w:pStyle w:val="ListBullet"/>
      </w:pPr>
      <w:r>
        <w:t>Regulatory risk from alleged data practices - if AppLovin is indeed 'copying META's data' as short-sellers claim, this could face immediate regulatory shutdown</w:t>
      </w:r>
    </w:p>
    <w:p>
      <w:pPr>
        <w:pStyle w:val="ListBullet"/>
      </w:pPr>
      <w:r>
        <w:t>Leadership transition risk - CTO Basil Shikin transitioning out after 10 years, plus CLO retiring, during critical e-commerce scaling phase creates execution risk</w:t>
      </w:r>
    </w:p>
    <w:p>
      <w:pPr>
        <w:pStyle w:val="ListBullet"/>
      </w:pPr>
      <w:r>
        <w:t>Macro headwinds completely ignored - unemployment up 2.4% YoY, consumer sentiment down 6.5% YoY, yet analyst assumes advertising spend resilience</w:t>
      </w:r>
    </w:p>
    <w:p>
      <w:pPr>
        <w:pStyle w:val="KillCriteria"/>
      </w:pPr>
      <w:r>
        <w:t>What would change our mind: Print on revenue_growth.ecommerce_contribution comes in above our +3.8 figure (toward street +25.1) in the next 1-2 prints.</w:t>
      </w:r>
    </w:p>
    <w:p>
      <w:pPr>
        <w:pStyle w:val="SectionHeading"/>
      </w:pPr>
      <w:r>
        <w:t>Appendix</w:t>
      </w:r>
    </w:p>
    <w:p>
      <w:pPr>
        <w:pStyle w:val="SubHeading"/>
      </w:pPr>
      <w:r>
        <w:t>Business context:</w:t>
      </w:r>
    </w:p>
    <w:p>
      <w:r>
        <w:t>AppLovin operates a mobile advertising platform with two main revenue streams: a demand-side platform (DSP) that helps advertisers acquire users through AI-driven targeting, and a supply-side platform (SSP) called MAX that helps app developers monetize their inventory through mediation. The company has expanded beyond mobile gaming into e-commerce advertising.</w:t>
      </w:r>
    </w:p>
    <w:p>
      <w:pPr>
        <w:pStyle w:val="SubHeading"/>
      </w:pPr>
      <w:r>
        <w:t>Evidence gaps (research TODO):</w:t>
      </w:r>
    </w:p>
    <w:p>
      <w:pPr>
        <w:pStyle w:val="ListBullet"/>
      </w:pPr>
      <w:r>
        <w:t>Specific e-commerce customer retention rates and spend-per-customer trends</w:t>
      </w:r>
    </w:p>
    <w:p>
      <w:pPr>
        <w:pStyle w:val="ListBullet"/>
      </w:pPr>
      <w:r>
        <w:t>Detailed competitive response from Meta and Google in mobile advertising auctions</w:t>
      </w:r>
    </w:p>
    <w:p>
      <w:pPr>
        <w:pStyle w:val="ListBullet"/>
      </w:pPr>
      <w:r>
        <w:t>Management's direct response to bear research allegations around ad fraud and data practices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