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CMG — CMG</w:t>
      </w:r>
    </w:p>
    <w:p>
      <w:pPr>
        <w:pStyle w:val="SmallMeta"/>
      </w:pPr>
      <w:r>
        <w:t>As of 2026-10-07  |  Schema: restaurant  |  Data: alpha_vantage (FY2025)</w:t>
      </w:r>
    </w:p>
    <w:p>
      <w:pPr>
        <w:pStyle w:val="SubHeading"/>
      </w:pPr>
      <w:r>
        <w:rPr>
          <w:color w:val="8C1D40"/>
        </w:rPr>
        <w:t>Direction: SHORT | Current: $30.59</w:t>
      </w:r>
    </w:p>
    <w:p>
      <w:pPr>
        <w:pStyle w:val="SubHeading"/>
      </w:pPr>
      <w:r>
        <w:t>Summary</w:t>
      </w:r>
    </w:p>
    <w:p>
      <w:pPr>
        <w:pStyle w:val="ListBullet"/>
      </w:pPr>
      <w:r>
        <w:t>Thesis: The revenue engine is roughly intact; HEEP plausibly adds about 60-100bps of 2027 comp. The Street's FY2027 EPS of $1.37 embeds a ~100bp operating-margin rebuild that contradicts management's explicit choices to reinvest HEEP labor savings and price below inflation. Near term, Q3 2026 consensus revenue implies a ~2% comp versus the ~1% cyclospora-embedded guide the CFO based Q3 expenses on. Our estimates are $3.245B Q3 revenue, $1.13 FY26 EPS and $1.29 FY27 EPS, all below consensus.</w:t>
      </w:r>
    </w:p>
    <w:p>
      <w:pPr>
        <w:pStyle w:val="ListBullet"/>
      </w:pPr>
      <w:r>
        <w:t>Next catalyst: Next quarterly earnings report (2026-10-28 (21 days))</w:t>
      </w:r>
    </w:p>
    <w:p>
      <w:pPr>
        <w:pStyle w:val="ListBullet"/>
      </w:pPr>
      <w:r>
        <w:t>Top risk: Bull case: HEEP labor efficiency and throughput gains will rebuild restaurant-level margin in 2027 as investments lap.</w:t>
      </w:r>
    </w:p>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$0.29</w:t>
            </w:r>
          </w:p>
        </w:tc>
        <w:tc>
          <w:tcPr>
            <w:tcW w:type="dxa" w:w="1399"/>
            <w:tcBorders>
              <w:top w:val="single" w:sz="4" w:color="BDC3C7"/>
              <w:bottom w:val="single" w:sz="4" w:color="BDC3C7"/>
              <w:left w:val="single" w:sz="4" w:color="BDC3C7"/>
              <w:right w:val="single" w:sz="4" w:color="BDC3C7"/>
            </w:tcBorders>
          </w:tcPr>
          <w:p>
            <w:r>
              <w:t>$0.28 – $0.30</w:t>
            </w:r>
          </w:p>
        </w:tc>
        <w:tc>
          <w:tcPr>
            <w:tcW w:type="dxa" w:w="1399"/>
            <w:tcBorders>
              <w:top w:val="single" w:sz="4" w:color="BDC3C7"/>
              <w:bottom w:val="single" w:sz="4" w:color="BDC3C7"/>
              <w:left w:val="single" w:sz="4" w:color="BDC3C7"/>
              <w:right w:val="single" w:sz="4" w:color="BDC3C7"/>
            </w:tcBorders>
          </w:tcPr>
          <w:p>
            <w:r>
              <w:t>32</w:t>
            </w:r>
          </w:p>
        </w:tc>
        <w:tc>
          <w:tcPr>
            <w:tcW w:type="dxa" w:w="1399"/>
            <w:tcBorders>
              <w:top w:val="single" w:sz="4" w:color="BDC3C7"/>
              <w:bottom w:val="single" w:sz="4" w:color="BDC3C7"/>
              <w:left w:val="single" w:sz="4" w:color="BDC3C7"/>
              <w:right w:val="single" w:sz="4" w:color="BDC3C7"/>
            </w:tcBorders>
          </w:tcPr>
          <w:p>
            <w:r>
              <w:t>+0.2%</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↑3 / ↓1</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$0.28</w:t>
            </w:r>
          </w:p>
        </w:tc>
        <w:tc>
          <w:tcPr>
            <w:tcW w:type="dxa" w:w="1399"/>
            <w:tcBorders>
              <w:top w:val="single" w:sz="4" w:color="BDC3C7"/>
              <w:bottom w:val="single" w:sz="4" w:color="BDC3C7"/>
              <w:left w:val="single" w:sz="4" w:color="BDC3C7"/>
              <w:right w:val="single" w:sz="4" w:color="BDC3C7"/>
            </w:tcBorders>
          </w:tcPr>
          <w:p>
            <w:r>
              <w:t>$0.26 – $0.31</w:t>
            </w:r>
          </w:p>
        </w:tc>
        <w:tc>
          <w:tcPr>
            <w:tcW w:type="dxa" w:w="1399"/>
            <w:tcBorders>
              <w:top w:val="single" w:sz="4" w:color="BDC3C7"/>
              <w:bottom w:val="single" w:sz="4" w:color="BDC3C7"/>
              <w:left w:val="single" w:sz="4" w:color="BDC3C7"/>
              <w:right w:val="single" w:sz="4" w:color="BDC3C7"/>
            </w:tcBorders>
          </w:tcPr>
          <w:p>
            <w:r>
              <w:t>32</w:t>
            </w:r>
          </w:p>
        </w:tc>
        <w:tc>
          <w:tcPr>
            <w:tcW w:type="dxa" w:w="1399"/>
            <w:tcBorders>
              <w:top w:val="single" w:sz="4" w:color="BDC3C7"/>
              <w:bottom w:val="single" w:sz="4" w:color="BDC3C7"/>
              <w:left w:val="single" w:sz="4" w:color="BDC3C7"/>
              <w:right w:val="single" w:sz="4" w:color="BDC3C7"/>
            </w:tcBorders>
          </w:tcPr>
          <w:p>
            <w:r>
              <w:t>+13.5%</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↑2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$1.15</w:t>
            </w:r>
          </w:p>
        </w:tc>
        <w:tc>
          <w:tcPr>
            <w:tcW w:type="dxa" w:w="1399"/>
            <w:tcBorders>
              <w:top w:val="single" w:sz="4" w:color="BDC3C7"/>
              <w:bottom w:val="single" w:sz="4" w:color="BDC3C7"/>
              <w:left w:val="single" w:sz="4" w:color="BDC3C7"/>
              <w:right w:val="single" w:sz="4" w:color="BDC3C7"/>
            </w:tcBorders>
          </w:tcPr>
          <w:p>
            <w:r>
              <w:t>$1.11 – $1.22</w:t>
            </w:r>
          </w:p>
        </w:tc>
        <w:tc>
          <w:tcPr>
            <w:tcW w:type="dxa" w:w="1399"/>
            <w:tcBorders>
              <w:top w:val="single" w:sz="4" w:color="BDC3C7"/>
              <w:bottom w:val="single" w:sz="4" w:color="BDC3C7"/>
              <w:left w:val="single" w:sz="4" w:color="BDC3C7"/>
              <w:right w:val="single" w:sz="4" w:color="BDC3C7"/>
            </w:tcBorders>
          </w:tcPr>
          <w:p>
            <w:r>
              <w:t>34</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↑3 / ↓1</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$1.37</w:t>
            </w:r>
          </w:p>
        </w:tc>
        <w:tc>
          <w:tcPr>
            <w:tcW w:type="dxa" w:w="1399"/>
            <w:tcBorders>
              <w:top w:val="single" w:sz="4" w:color="BDC3C7"/>
              <w:bottom w:val="single" w:sz="4" w:color="BDC3C7"/>
              <w:left w:val="single" w:sz="4" w:color="BDC3C7"/>
              <w:right w:val="single" w:sz="4" w:color="BDC3C7"/>
            </w:tcBorders>
          </w:tcPr>
          <w:p>
            <w:r>
              <w:t>$1.27 – $1.45</w:t>
            </w:r>
          </w:p>
        </w:tc>
        <w:tc>
          <w:tcPr>
            <w:tcW w:type="dxa" w:w="1399"/>
            <w:tcBorders>
              <w:top w:val="single" w:sz="4" w:color="BDC3C7"/>
              <w:bottom w:val="single" w:sz="4" w:color="BDC3C7"/>
              <w:left w:val="single" w:sz="4" w:color="BDC3C7"/>
              <w:right w:val="single" w:sz="4" w:color="BDC3C7"/>
            </w:tcBorders>
          </w:tcPr>
          <w:p>
            <w:r>
              <w:t>34</w:t>
            </w:r>
          </w:p>
        </w:tc>
        <w:tc>
          <w:tcPr>
            <w:tcW w:type="dxa" w:w="1399"/>
            <w:tcBorders>
              <w:top w:val="single" w:sz="4" w:color="BDC3C7"/>
              <w:bottom w:val="single" w:sz="4" w:color="BDC3C7"/>
              <w:left w:val="single" w:sz="4" w:color="BDC3C7"/>
              <w:right w:val="single" w:sz="4" w:color="BDC3C7"/>
            </w:tcBorders>
          </w:tcPr>
          <w:p>
            <w:r>
              <w:t>+19.0%</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↑5 / ↓0</w:t>
            </w:r>
          </w:p>
        </w:tc>
      </w:tr>
    </w:tbl>
    <w:p>
      <w:r>
        <w:t>Revenue consensus: Q $3.28B (+9.2%)  |  Q+1 $3.31B (+10.9%)  |  FY $13.03B (+9.2%)  |  FY+1 $14.44B (+10.9%)</w:t>
      </w:r>
    </w:p>
    <w:p>
      <w:r>
        <w:t>Price targets: Mean $43.76  |  Median $44.00  |  Range $35.00–$53.00  |  Current $30.71 (+42.5% to mean)</w:t>
      </w:r>
    </w:p>
    <w:p>
      <w:r>
        <w:t>Analyst ratings (n=35): Strong Buy 4 · Buy 20 · Hold 11 · Sell 0 · Strong Sell 0  ·  69% bullish</w:t>
      </w:r>
    </w:p>
    <w:p>
      <w:r>
        <w:t>Next earnings: 2026-10-28 (21d out)  ·  EPS $0.29 ($0.28–$0.30)  ·  Rev $3.28B</w:t>
      </w:r>
    </w:p>
    <w:p>
      <w:pPr>
        <w:pStyle w:val="SectionHeading"/>
      </w:pPr>
      <w:r>
        <w:t>1. Research Synthesis</w:t>
      </w:r>
    </w:p>
    <w:p>
      <w:r>
        <w:t>The setup. Chipotle trades in the low-$30s. That level is inferred from the $35.75 August insider sale and October retail commentary about adding 'in the 30s'; it is not a verified quote. The stock sits near 52-week lows, while the sell-side holds a $43.76 mean target, $1.15 FY2026 EPS and $1.37 FY2027 EPS (+19%). My view splits the business into two halves:</w:t>
        <w:br/>
        <w:t>- **Revenue engine: fine and arguably improving.** The 2026 transaction recovery, the HEEP rollout and ~8-9% unit growth are real.</w:t>
        <w:br/>
        <w:t>- **Earnings conversion: still impaired, and the Street has not internalized it.** Consensus 2027 assumes a margin rebuild that management's own stated strategy argues against.</w:t>
        <w:br/>
        <w:t>Near term, Q3 consensus revenue sits above what the CFO's cyclospora-embedded guide implies. My estimates are $3,245M Q3 revenue, $1.13 FY26 EPS and $1.29 FY27 EPS. That makes this an estimate-cut call rather than a short: at ~$31 the stock already trades at ~24x my 2027 number. CMG has rarely offered that multiple over the past decade, though that comparison is analyst knowledge, not in the corpus.</w:t>
      </w:r>
    </w:p>
    <w:p>
      <w:r>
        <w:t>Reconciliation first, because the base matters. The structured financials show FY2025 diluted EPS of $1.09. The same block's net income of $1,535.8M over 1,265.4M diluted shares gives $1.21, which is internally inconsistent; the 1,265.4M figure is likely a period-end count rather than the weighted average. The quarterly GAAP EPS (0.28 + 0.32 + 0.29 + 0.25) sums to $1.14, and management's adjusted FY2025 EPS was $1.17. Consensus's -1.7% FY2026 growth is computed off the $1.17 adjusted base, so I benchmark everything on an adjusted basis.</w:t>
      </w:r>
    </w:p>
    <w:p>
      <w:pPr>
        <w:pStyle w:val="PullQuote"/>
      </w:pPr>
      <w:r>
        <w:t>Counter: the analyst claims Below-consensus estimates ($1.13 FY26, $1.29 FY27) constitute a short edge. — but The FY26 variance is 2 cents (1.7%), which is inside normal estimate dispersion. The FY27 variance is 6%, but the analyst's own model still has EPS growing +14% in FY27. A short whose bear case is 'EPS grows 14% instead of 19%' on a stock already at 52-week lows has no real edge. The market has already de-rated the 2026 margin compression (op margin down about 250bp in Q2 per the press release;…</w:t>
      </w:r>
    </w:p>
    <w:p>
      <w:r>
        <w:t>On margins, the structured 25.4% 'gross margin' is essentially restaurant-level margin; the four 2025 quarters averaged ~25.4% (26.2, 27.4, 24.5, 23.4). The 16.9% operating margin reconciles exactly: 25.4% less 5.5% SG&amp;A less 3.0% D&amp;A. Two items now sit outside restaurant-level margin and are growing:</w:t>
        <w:br/>
        <w:t>- **Pre-opening plus impairment** ran 0.9% of revenue in Q2 2026, versus 0.5% in Q2 2025 (deck p.5).</w:t>
        <w:br/>
        <w:t>- **Adjusted G&amp;A** grew from $159.9M to $176.2M (+10%), and Q1 GAAP G&amp;A was 6.6% of revenue versus 6.0%.</w:t>
      </w:r>
    </w:p>
    <w:p>
      <w:r>
        <w:t>Q2's flat $0.33 adjusted EPS hides a 7% decline in adjusted net income ($418.9M vs $450.4M). The EPS line was held flat by a lower share count, not by operations.</w:t>
      </w:r>
    </w:p>
    <w:p>
      <w:pPr>
        <w:pStyle w:val="PullQuote"/>
      </w:pPr>
      <w:r>
        <w:t>Counter: the analyst claims Management has explicitly chosen to reinvest HEEP savings and price below inflation, so the margin rebuild is structurally capped. — but These are 2026 choices made during a comp trough, and they are reversible. CMG's check (+1.2%) runs about 200bp below food-away-from-home CPI (+3.4%), giving it the most pricing headroom in the group. Lapping the 2026 marketing step-up removes deleverage. HEEP throughput adds fixed-cost leverage even if all labor savings are reinvested. Management's guidance pattern (promise mid-single-digit,…</w:t>
      </w:r>
    </w:p>
    <w:p>
      <w:pPr>
        <w:pStyle w:val="ListBullet"/>
      </w:pPr>
      <w:r>
        <w:rPr>
          <w:i/>
        </w:rPr>
        <w:t>→ Research confirms: Chipotle Q2 2026 adjusted net income declined 7.0% from $450.4M to $418.9M while adjusted EPS remained flat at $0.33, with diluted share count falling from 1,350.2M to 1,279.1M shares—confirming buybacks masked the earnings decline. (chipotle.com)</w:t>
      </w:r>
    </w:p>
    <w:p>
      <w:r>
        <w:t>The Q3 revenue diligence. Q2 2026 revenue grew +8.4% sequentially versus +6.5% in the same period of 2025, so that acceleration was real; I am not arguing the recovery is fake. Next, decompose non-comp growth (revenue growth minus comp):</w:t>
        <w:br/>
        <w:t>- Q1 2026: 7.4% - 0.5% = 6.9pp</w:t>
        <w:br/>
        <w:t>- Q2 2026: 9.3% - 2.2% = 7.1pp</w:t>
        <w:br/>
        <w:t>- Q3 2025: 7.5% - 0.3% = 7.2pp</w:t>
      </w:r>
    </w:p>
    <w:p>
      <w:r>
        <w:t>Units are growing ~8-9% at ~80% productivity, so ~7pp from units is stable.</w:t>
      </w:r>
    </w:p>
    <w:p>
      <w:r>
        <w:t>On the Q2 call, the CFO confirmed that Q3 expense guidance 'was based off of, was that 1% guide because... it assumes the continuation of that impact through the rest of the quarter.' A 1% comp on the $3,003M Q3 2025 base, plus ~7.1pp from units, gives ~$3,245M. Consensus of $3,280M (+9.2%) requires ~2.1% comp, a continuation of Q2's rate as if cyclospora never happened.</w:t>
      </w:r>
    </w:p>
    <w:p>
      <w:r>
        <w:t>Four-way sequential check:</w:t>
        <w:br/>
        <w:t>- **Consensus:** $3,280M vs Q2's $3,349M is -2.1% sequential, matching Q3 2025's -2.0% (Q3 2024 was -6.0%). Consensus is modeling a seasonally normal quarter.</w:t>
        <w:br/>
        <w:t>- **My number:** -3.1% sequential, ~110bps worse than seasonal. That gap maps directly onto a ~120bp comp step-down from 2.2% to ~1%.</w:t>
      </w:r>
    </w:p>
    <w:p>
      <w:r>
        <w:t>The mix is worse than the headline. Q3 pricing is guided to 'mid-2%' and mix has been a drag of 40-100bps (Q1 check -0.1% on ~0.9% price; Q2 check +1.2% on 1.6% price). A 1% comp therefore implies transactions of roughly -1%, breaking the positive-transaction streak the CEO has led every 2026 call with.</w:t>
      </w:r>
    </w:p>
    <w:p>
      <w:r>
        <w:t>The news flow argues the impact did not fade. A salmonella lawsuit surfaced on August 11, and on October 5 'food-safety headlines return ahead of late-October results' coincided with a 4-6% drop and unusual put buying. Yet Q3 consensus revisions over 30 days were 3 up / 1 down, so the Street has not stepped toward this view.</w:t>
      </w:r>
    </w:p>
    <w:p>
      <w:pPr>
        <w:pStyle w:val="ListBullet"/>
      </w:pPr>
      <w:r>
        <w:rPr>
          <w:i/>
        </w:rPr>
        <w:t>→ Research [UPDATES]: First lawsuit filed August 5, 2026, not August 11. August 11 was the media coverage date (Yahoo Finance article published August 11). The lawsuit date discrepancy is material to timeline precision, though the food-safety headline and stock impact timing remain consistent with the brief's narrative. (prnewswire.com)</w:t>
      </w:r>
    </w:p>
    <w:p>
      <w:r>
        <w:t>The Q3 and FY2026 EPS bridge. Q3 2025 operating margin was 15.9%. Q2 2026 operating margin fell 250bps year over year (RLM -220bps), and Q1 fell 380bps (RLM -250bps adjusted).</w:t>
        <w:br/>
        <w:t>- **Consensus Q3 EPS of $0.29:** at ~1,255M diluted shares and a 24-26% tax rate, this implies ~$467M operating income, or ~14.2% margin, only -170bps year over year.</w:t>
        <w:br/>
        <w:t>- **My Q3:**</w:t>
        <w:br/>
        <w:t xml:space="preserve">  - Pricing improves to mid-2% and H2 cost inflation steps down to 'low-to-mid-single-digit', which is real help.</w:t>
        <w:br/>
        <w:t xml:space="preserve">  - But a ~1% comp gives less fixed-cost leverage on labor and occupancy than Q2's 2.2%, and G&amp;A is running +10% or more.</w:t>
        <w:br/>
        <w:t xml:space="preserve">  - Net: ~-210bps, or ~13.8% on $3,245M, which is ~$448M operating income and ~$0.28 EPS.</w:t>
        <w:br/>
        <w:t>- **Q4:** consensus $0.28 looks reasonable. The 2025 base included a $27M gift-card true-up worth 70bps of RLM; ex-breakage, the margin compare is roughly flat, and the -2.5% comp compare is easy.</w:t>
        <w:br/>
        <w:t>- **FY2026:** 0.24 + 0.33 + 0.28 + 0.28 gives ~$1.13 versus $1.15. This is a small gap, but its direction tells you what the Street is under-modeling: deleverage.</w:t>
      </w:r>
    </w:p>
    <w:p>
      <w:r>
        <w:t>The real disagreement is FY2027. Back-solving consensus: $1.37 × ~1,225M shares is ~$1,678M net income, or ~$2,238M pretax at 25% tax, or ~$2,198M operating income on $14,443M revenue. That is a ~15.2% operating margin, versus ~14.2% implied for 2026, so roughly +100bps of expansion.</w:t>
      </w:r>
    </w:p>
    <w:p>
      <w:r>
        <w:t>The revenue line is defensible:</w:t>
        <w:br/>
        <w:t>- Consensus +10.9% needs ~3.5% comp on top of ~7pp from units.</w:t>
        <w:br/>
        <w:t>- HEEP is the best support. Management cites 'hundreds of basis points of improvement in comp sales' at equipped stores, with ~2 months to ramp. About 1,000 of ~4,200 restaurants were equipped by Q2 (~24%), heading to 2,000 by year-end and completion 'some time in 2027'.</w:t>
        <w:br/>
        <w:t>- My inference, since management has declined to quantify the lift: a ~200-300bp, one-year lift per store implies roughly 60-100bps of incremental system comp in 2027. That gets me to ~3% comp and $14.3B revenue, most of the gap to consensus being the lower Q3 base.</w:t>
      </w:r>
    </w:p>
    <w:p>
      <w:pPr>
        <w:pStyle w:val="ListBullet"/>
      </w:pPr>
      <w:r>
        <w:rPr>
          <w:i/>
        </w:rPr>
        <w:t>→ Research confirms: Q2 2026 earnings confirm 1,000 HEEP-equipped restaurants with 2,000 target by year-end 2026 and full rollout completion in 2027. Percentage calculation (1,000 of ~4,200 = ~24%) aligns with disclosed figures. (theglobeandmail.com)</w:t>
      </w:r>
    </w:p>
    <w:p>
      <w:r>
        <w:t>The margin line is where consensus breaks, for four reasons:</w:t>
        <w:br/>
        <w:t>1. **HEEP savings do not drop to margin.** CEO Boatwright, Q2 2026: 'Because we're reinvesting the labor efficiency back into our restaurants, our crews can spend more time with our guests.' On Q1: 'pricing below inflation because we believe reinforcing our value.'</w:t>
        <w:br/>
        <w:t>2. **The price-versus-cost arithmetic is negative.** Leisure-and-hospitality wages are +3.9% (BLS) and PPI is +9.9% year over year, with beef and freight already cited in Q2. A ~2.5% price against ~3-3.5% blended cost inflation on a ~76% cost base compresses RLM ~50bps before leverage.</w:t>
        <w:br/>
        <w:t>3. **Traffic leverage roughly offsets it, and no more.** +1% traffic at ~40% flow-through adds back ~40bps, and G&amp;A leverage adds perhaps 20bps. Net: ~+35bps of operating margin, to ~14.35%, which is $1.28-1.29 of EPS, not $1.37.</w:t>
        <w:br/>
        <w:t>4. **Peers flag the outlier.** TXRH converts +11.2% revenue growth into +7.6% EPS growth, DRI +3.7% into +5.8%, and CAVA +27.5% into +1.4%. CMG's consensus +19% EPS on +10.9% revenue requires margin repair none of its peers are being credited with.</w:t>
      </w:r>
    </w:p>
    <w:p>
      <w:r>
        <w:t>Management credibility cuts both ways.</w:t>
        <w:br/>
        <w:t>- **The sandbag pattern supports upside surprise.** FY2026 comp was guided 'about flat' with explicit 'conservative baseline' language (Q4 2025 and Q1 2026), then beaten twice and raised to low-single-digit.</w:t>
        <w:br/>
        <w:t>- **Aspiration has run ahead of delivery.** The CEO's Q3 2025 pledge of a 'new strategy in 2026 that will give us back to mid-single-digit comp growth' has become low-single-digit.</w:t>
        <w:br/>
        <w:t>- **The key 2027 question was dodged.** On Q2, when an analyst asked how investors know momentum continues into '27 given that CMG is 'doing a lot and spending a lot to get the 1% to 2%', the answer pivoted to a cyclospora statement.</w:t>
        <w:br/>
        <w:t>- **HEEP lift has never been quantified.** 'I can't get into specifics at present' (Q3 2025).</w:t>
        <w:br/>
        <w:t>- **Development proof points have been dropped.** The ~80% new-unit productivity and ~60% year-two cash-on-cash figures have not been repeated since Q3 2025.</w:t>
      </w:r>
    </w:p>
    <w:p>
      <w:pPr>
        <w:pStyle w:val="ListBullet"/>
      </w:pPr>
      <w:r>
        <w:rPr>
          <w:i/>
        </w:rPr>
        <w:t>→ Research: Search confirms Boatwright's substantial prior operational track record: 18 years at Arby's including 6 years as SVP of Operations overseeing 1,700+ restaurants, plus 7 years as Chipotle COO/Chief Restaurant Officer. His tenure at Arby's was transformational and he was named Operations CREATOR of the Year in 2021. This directly supports credibility of his operational guidance. (sec.gov)</w:t>
      </w:r>
    </w:p>
    <w:p>
      <w:r>
        <w:t>None of this is fatal, but it is consistent with a team protecting the comp narrative while margin is the variable it is choosing to sacrifice. The 'Recipe for Growth' restructuring charges are immaterial ($2.1M in Q1, $3.3M in Q2), so there is no cost-takeout tailwind hiding there.</w:t>
      </w:r>
    </w:p>
    <w:p>
      <w:r>
        <w:t>Ownership and news.</w:t>
        <w:br/>
        <w:t>- **Pershing Square:** the ownership table lists it at 4.2% as a strategic holder, but that figure traces to a 2020 13D/A. The 13F flow shows Pershing fully exited (-$844M) in Q4 2025, alongside Viking (-$260M). The longtime anchor activist is likely gone.</w:t>
        <w:br/>
        <w:t>- **New buyers:** Third Point initiated a $175M position (2.4% of its book, a conviction sizing), and Citadel and Millennium added tactically.</w:t>
        <w:br/>
        <w:t>- **Positioning:** crowding is 0/100 and short interest is ~4% of float. This is not a squeeze setup, and not a stock where shorts are pressing a known bear case.</w:t>
        <w:br/>
        <w:t>- **Insiders:** the only Form 4 is the controller's $0.1M sale at $35.75, which is not informative.</w:t>
        <w:br/>
        <w:t>- **M&amp;A rumor:** the CMG-Starbucks merger talk (October 1 and 6) is unsubstantiated, and management has never referenced strategic alternatives. I assign it no value beyond short-term sentiment support.</w:t>
        <w:br/>
        <w:t>- **Macro:** consumer sentiment is 51.7 (-11% year over year) and the saving rate has fallen to 4.1%. Food-at-home inflation (+2.2%) trails food-away (+3.4%), a 120bp gap that favors grocery over restaurant traffic. The sub-$100K cohort, which management said is ~40% of sales and drove the 2025 'hard comps', has not obviously healed. The 2026 comp recovery is initiative-driven against an unimproved consumer.</w:t>
      </w:r>
    </w:p>
    <w:p>
      <w:r>
        <w:t>The bear case to my view, and the mispricing read.</w:t>
        <w:br/>
        <w:t>- **The strongest counter:**</w:t>
        <w:br/>
        <w:t xml:space="preserve">  - 2026's margin compression is front-loaded investment (marketing +22%, staffing, hospitality, legal) that annualizes in 2027.</w:t>
        <w:br/>
        <w:t xml:space="preserve">  - Pricing is already stepping up from 1.6% to mid-2%.</w:t>
        <w:br/>
        <w:t xml:space="preserve">  - Historically CMG has rebuilt restaurant margins quickly once traffic turned. The 2017-2019 post-food-safety recovery is an analyst-knowledge precedent, not in the corpus.</w:t>
        <w:br/>
        <w:t xml:space="preserve">  - If the cyclospora drag faded in August, management's '1% guide' was another sandbag and Q3 prints ~2% comp in line with consensus.</w:t>
        <w:br/>
        <w:t>- **What would change my mind:**</w:t>
        <w:br/>
        <w:t xml:space="preserve">  - Q3 comp of 2% or more with positive transactions.</w:t>
        <w:br/>
        <w:t xml:space="preserve">  - Q3 restaurant-level margin decline of under 150bps.</w:t>
        <w:br/>
        <w:t xml:space="preserve">  - A Q4 call (early February 2027) that guides 2027 RLM up meaningfully.</w:t>
        <w:br/>
        <w:t>- **Why the gap exists:** the sell-side extrapolates comp momentum into margin repair, while management keeps explicitly reinvesting the efficiency.</w:t>
        <w:br/>
        <w:t>- **What the price is doing:** the stock has already fallen to a multiple near my numbers, for a mix of fundamental reasons (food safety, margin) and mechanical ones (restaurant-group selling on October 5, a cooling consumer-discretionary tape, 52-week-low technicals). This is a 'numbers down, stock already cheap' setup, not a short.</w:t>
      </w:r>
    </w:p>
    <w:p>
      <w:r>
        <w:t>The dated test is the Q3 print in late October 2026: the transaction comp and the RLM decline. The second test is the 2027 framework on the Q4 call in early February 2027.</w:t>
      </w:r>
    </w:p>
    <w:p>
      <w:pPr>
        <w:pStyle w:val="ListBullet"/>
      </w:pPr>
      <w:r>
        <w:rPr>
          <w:i/>
        </w:rPr>
        <w:t>→ Research confirms: Chipotle Q2 2026 adjusted G&amp;A grew from $159.9M to $176.2M, representing a 10.1% increase year-over-year. Q1 2026 GAAP G&amp;A was 6.6% of revenue versus 6.0% in Q1 2025. (chipotle.com)</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$0.29</w:t>
            </w:r>
          </w:p>
        </w:tc>
        <w:tc>
          <w:tcPr>
            <w:tcW w:type="dxa" w:w="3264"/>
            <w:tcBorders>
              <w:top w:val="single" w:sz="4" w:color="BDC3C7"/>
              <w:bottom w:val="single" w:sz="4" w:color="BDC3C7"/>
              <w:left w:val="single" w:sz="4" w:color="BDC3C7"/>
              <w:right w:val="single" w:sz="4" w:color="BDC3C7"/>
            </w:tcBorders>
          </w:tcPr>
          <w:p>
            <w:r>
              <w:t>$3,280M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$0.28</w:t>
            </w:r>
          </w:p>
        </w:tc>
        <w:tc>
          <w:tcPr>
            <w:tcW w:type="dxa" w:w="3264"/>
            <w:tcBorders>
              <w:top w:val="single" w:sz="4" w:color="BDC3C7"/>
              <w:bottom w:val="single" w:sz="4" w:color="BDC3C7"/>
              <w:left w:val="single" w:sz="4" w:color="BDC3C7"/>
              <w:right w:val="single" w:sz="4" w:color="BDC3C7"/>
            </w:tcBorders>
          </w:tcPr>
          <w:p>
            <w:r>
              <w:t>$3,307M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$1.15</w:t>
            </w:r>
          </w:p>
        </w:tc>
        <w:tc>
          <w:tcPr>
            <w:tcW w:type="dxa" w:w="3264"/>
            <w:tcBorders>
              <w:top w:val="single" w:sz="4" w:color="BDC3C7"/>
              <w:bottom w:val="single" w:sz="4" w:color="BDC3C7"/>
              <w:left w:val="single" w:sz="4" w:color="BDC3C7"/>
              <w:right w:val="single" w:sz="4" w:color="BDC3C7"/>
            </w:tcBorders>
          </w:tcPr>
          <w:p>
            <w:r>
              <w:t>$13,028M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$1.37</w:t>
            </w:r>
          </w:p>
        </w:tc>
        <w:tc>
          <w:tcPr>
            <w:tcW w:type="dxa" w:w="3264"/>
            <w:tcBorders>
              <w:top w:val="single" w:sz="4" w:color="BDC3C7"/>
              <w:bottom w:val="single" w:sz="4" w:color="BDC3C7"/>
              <w:left w:val="single" w:sz="4" w:color="BDC3C7"/>
              <w:right w:val="single" w:sz="4" w:color="BDC3C7"/>
            </w:tcBorders>
          </w:tcPr>
          <w:p>
            <w:r>
              <w:t>$14,443M</w:t>
            </w:r>
          </w:p>
        </w:tc>
      </w:tr>
    </w:tbl>
    <w:p>
      <w:pPr>
        <w:pStyle w:val="SubHeading"/>
      </w:pPr>
      <w:r>
        <w:t>Management guidance:</w:t>
      </w:r>
    </w:p>
    <w:p>
      <w:pPr>
        <w:pStyle w:val="ListBullet"/>
      </w:pPr>
      <w:r>
        <w:t>Same-Store Sales (FY2026): we now expect full year comp sales growth in the low single-digit range  — Q2 2026, call, CFO</w:t>
      </w:r>
    </w:p>
    <w:p>
      <w:pPr>
        <w:pStyle w:val="ListBullet"/>
      </w:pPr>
      <w:r>
        <w:t>Other Pricing Impact (Q3 2026): we anticipate it will increase to the mid-2% range in Q3  — Q2 2026, call, CFO</w:t>
      </w:r>
    </w:p>
    <w:p>
      <w:pPr>
        <w:pStyle w:val="ListBullet"/>
      </w:pPr>
      <w:r>
        <w:t>Other Pricing Impact (FY2026): we expect to land near the high end of the 1% to 2% range we communicated earlier this year  — Q2 2026, call, CFO</w:t>
      </w:r>
    </w:p>
    <w:p>
      <w:pPr>
        <w:pStyle w:val="ListBullet"/>
      </w:pPr>
      <w:r>
        <w:t>Units Heep Equipped Restaurants (FY2026): The equipment is now installed in more than 1,000 restaurants.  — Q2 2026, call, CEO</w:t>
      </w:r>
    </w:p>
    <w:p>
      <w:pPr>
        <w:pStyle w:val="ListBullet"/>
      </w:pPr>
      <w:r>
        <w:t>Units (long-term): builds even greater confidence in our ability to operate at least 7,000 restaurants across the region  — Q2 2026, call, CFO</w:t>
      </w:r>
    </w:p>
    <w:p>
      <w:pPr>
        <w:pStyle w:val="ListBullet"/>
      </w:pPr>
      <w:r>
        <w:t>Revenue (FY2026): full-year cost-of-sales inflation of around 4%  — Q1 2026, call, CFO</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Q Rev</w:t>
            </w:r>
          </w:p>
        </w:tc>
        <w:tc>
          <w:tcPr>
            <w:tcW w:type="dxa" w:w="1632"/>
            <w:tcBorders>
              <w:top w:val="single" w:sz="4" w:color="BDC3C7"/>
              <w:bottom w:val="single" w:sz="4" w:color="BDC3C7"/>
              <w:left w:val="single" w:sz="4" w:color="BDC3C7"/>
              <w:right w:val="single" w:sz="4" w:color="BDC3C7"/>
            </w:tcBorders>
          </w:tcPr>
          <w:p>
            <w:r>
              <w:t>$3.3B</w:t>
            </w:r>
          </w:p>
        </w:tc>
        <w:tc>
          <w:tcPr>
            <w:tcW w:type="dxa" w:w="1632"/>
            <w:tcBorders>
              <w:top w:val="single" w:sz="4" w:color="BDC3C7"/>
              <w:bottom w:val="single" w:sz="4" w:color="BDC3C7"/>
              <w:left w:val="single" w:sz="4" w:color="BDC3C7"/>
              <w:right w:val="single" w:sz="4" w:color="BDC3C7"/>
            </w:tcBorders>
          </w:tcPr>
          <w:p>
            <w:r>
              <w:t>$3.2B</w:t>
            </w:r>
          </w:p>
        </w:tc>
        <w:tc>
          <w:tcPr>
            <w:tcW w:type="dxa" w:w="1632"/>
            <w:tcBorders>
              <w:top w:val="single" w:sz="4" w:color="BDC3C7"/>
              <w:bottom w:val="single" w:sz="4" w:color="BDC3C7"/>
              <w:left w:val="single" w:sz="4" w:color="BDC3C7"/>
              <w:right w:val="single" w:sz="4" w:color="BDC3C7"/>
            </w:tcBorders>
          </w:tcPr>
          <w:p>
            <w:r>
              <w:t>-0.01</w:t>
            </w:r>
          </w:p>
        </w:tc>
        <w:tc>
          <w:tcPr>
            <w:tcW w:type="dxa" w:w="1632"/>
            <w:tcBorders>
              <w:top w:val="single" w:sz="4" w:color="BDC3C7"/>
              <w:bottom w:val="single" w:sz="4" w:color="BDC3C7"/>
              <w:left w:val="single" w:sz="4" w:color="BDC3C7"/>
              <w:right w:val="single" w:sz="4" w:color="BDC3C7"/>
            </w:tcBorders>
          </w:tcPr>
          <w:p>
            <w:r>
              <w:t>cross_corpus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$1.15</w:t>
            </w:r>
          </w:p>
        </w:tc>
        <w:tc>
          <w:tcPr>
            <w:tcW w:type="dxa" w:w="1632"/>
            <w:tcBorders>
              <w:top w:val="single" w:sz="4" w:color="BDC3C7"/>
              <w:bottom w:val="single" w:sz="4" w:color="BDC3C7"/>
              <w:left w:val="single" w:sz="4" w:color="BDC3C7"/>
              <w:right w:val="single" w:sz="4" w:color="BDC3C7"/>
            </w:tcBorders>
          </w:tcPr>
          <w:p>
            <w:r>
              <w:t>$1.13</w:t>
            </w:r>
          </w:p>
        </w:tc>
        <w:tc>
          <w:tcPr>
            <w:tcW w:type="dxa" w:w="1632"/>
            <w:tcBorders>
              <w:top w:val="single" w:sz="4" w:color="BDC3C7"/>
              <w:bottom w:val="single" w:sz="4" w:color="BDC3C7"/>
              <w:left w:val="single" w:sz="4" w:color="BDC3C7"/>
              <w:right w:val="single" w:sz="4" w:color="BDC3C7"/>
            </w:tcBorders>
          </w:tcPr>
          <w:p>
            <w:r>
              <w:t>-0.02</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3</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$1.37</w:t>
            </w:r>
          </w:p>
        </w:tc>
        <w:tc>
          <w:tcPr>
            <w:tcW w:type="dxa" w:w="1632"/>
            <w:tcBorders>
              <w:top w:val="single" w:sz="4" w:color="BDC3C7"/>
              <w:bottom w:val="single" w:sz="4" w:color="BDC3C7"/>
              <w:left w:val="single" w:sz="4" w:color="BDC3C7"/>
              <w:right w:val="single" w:sz="4" w:color="BDC3C7"/>
            </w:tcBorders>
          </w:tcPr>
          <w:p>
            <w:r>
              <w:t>$1.29</w:t>
            </w:r>
          </w:p>
        </w:tc>
        <w:tc>
          <w:tcPr>
            <w:tcW w:type="dxa" w:w="1632"/>
            <w:tcBorders>
              <w:top w:val="single" w:sz="4" w:color="BDC3C7"/>
              <w:bottom w:val="single" w:sz="4" w:color="BDC3C7"/>
              <w:left w:val="single" w:sz="4" w:color="BDC3C7"/>
              <w:right w:val="single" w:sz="4" w:color="BDC3C7"/>
            </w:tcBorders>
          </w:tcPr>
          <w:p>
            <w:r>
              <w:t>-0.08</w:t>
            </w:r>
          </w:p>
        </w:tc>
        <w:tc>
          <w:tcPr>
            <w:tcW w:type="dxa" w:w="1632"/>
            <w:tcBorders>
              <w:top w:val="single" w:sz="4" w:color="BDC3C7"/>
              <w:bottom w:val="single" w:sz="4" w:color="BDC3C7"/>
              <w:left w:val="single" w:sz="4" w:color="BDC3C7"/>
              <w:right w:val="single" w:sz="4" w:color="BDC3C7"/>
            </w:tcBorders>
          </w:tcPr>
          <w:p>
            <w:r>
              <w:t>cross_corpus</w:t>
            </w:r>
          </w:p>
        </w:tc>
      </w:tr>
    </w:tbl>
    <w:p>
      <w:pPr>
        <w:pStyle w:val="SubHeading"/>
      </w:pPr>
      <w:r>
        <w:t>Claim 1 — consensus_q_revenue</w:t>
      </w:r>
    </w:p>
    <w:p>
      <w:r>
        <w:t>Non-comp (unit) contribution has run a stable ~6.9-7.2pp (Q1 2026 7.4%-0.5%; Q2 2026 9.3%-2.2%; Q3 2025 7.5%-0.3%). The CFO built Q3 expense guidance on a ~1% comp that assumed the cyclospora impact persisted. 1% comp plus ~7.1pp on the $3,003M base is ~$3,245M. Consensus +9.2% implies ~2.1% comp, i.e. Q2's run-rate with no food-safety drag.</w:t>
      </w:r>
    </w:p>
    <w:p>
      <w:r>
        <w:t>Street anchor: $3.3B (yfinance consensus (current quarter, Q3 2026)) → Our view: $3.2B</w:t>
      </w:r>
    </w:p>
    <w:p>
      <w:pPr>
        <w:pStyle w:val="PullQuote"/>
      </w:pPr>
      <w:r>
        <w:t>“that's what our expense line guidance was based off of, was that 1% guide because, again, it assumes the continuation of that impact through the rest of the quarter because, again, very difficult to predict how long this could last.”  (transcript)</w:t>
      </w:r>
    </w:p>
    <w:p>
      <w:pPr>
        <w:pStyle w:val="PullQuote"/>
      </w:pPr>
      <w:r>
        <w:t>“On pricing, the impact in Q2 was around 1.6%, and we anticipate it will increase to the mid-2% range in Q3.”  (transcript)</w:t>
      </w:r>
    </w:p>
    <w:p>
      <w:pPr>
        <w:pStyle w:val="PullQuote"/>
      </w:pPr>
      <w:r>
        <w:t>“Comparable restaurant sales increased 2.2%, consisting of a 1.2% increase in average check and a 1.0% increase in transactions.”  (press_release)</w:t>
      </w:r>
    </w:p>
    <w:p>
      <w:r>
        <w:t>Why not consensus: Sell-side builds quarters top-down from the raised FY 'low single-digit' comp guide and smooths it across H2. It has not reconciled the Q3 line to the CFO's Q&amp;A remark that the expense guide assumed a ~1% comp with cyclospora continuing. Q3 revisions went 3 up / 1 down even as food-safety headlines resurfaced on October 5.</w:t>
      </w:r>
    </w:p>
    <w:p>
      <w:pPr>
        <w:pStyle w:val="KillCriteria"/>
      </w:pPr>
      <w:r>
        <w:t>Falsifier: Q3 2026 (late October) comp of 2% or more with positive transactions and revenue of $3,270M or more would show the cyclospora drag faded and the guide was a sandbag.</w:t>
      </w:r>
    </w:p>
    <w:p>
      <w:pPr>
        <w:pStyle w:val="SubHeading"/>
      </w:pPr>
      <w:r>
        <w:t>Claim 2 — consensus_fy_eps</w:t>
      </w:r>
    </w:p>
    <w:p>
      <w:r>
        <w:t>Consensus Q3 EPS of $0.29 implies only ~-170bps year-over-year operating-margin compression (~14.2%), versus -250bps in Q2 and -380bps in Q1. A ~1% comp gives less fixed-cost leverage while G&amp;A runs +10% or more, so we model ~-210bps (13.8%) and $0.28 for Q3. With Q4 in line at $0.28, FY sums to ~$1.13 (0.24 + 0.33 + 0.28 + 0.28). This includes the ~$0.01 from the Q3 revenue claim, so the two are not additive.</w:t>
      </w:r>
    </w:p>
    <w:p>
      <w:r>
        <w:t>Street anchor: $1.15 (yfinance consensus (FY2026)) → Our view: $1.13</w:t>
      </w:r>
    </w:p>
    <w:p>
      <w:pPr>
        <w:pStyle w:val="PullQuote"/>
      </w:pPr>
      <w:r>
        <w:t>“Restaurant level operating margin $ 844,565 25.2 % $ 838,230 27.4 %”  (deck)</w:t>
      </w:r>
    </w:p>
    <w:p>
      <w:pPr>
        <w:pStyle w:val="PullQuote"/>
      </w:pPr>
      <w:r>
        <w:t>“Adjusted general and administrative expenses $ 176,200 $ 159,938”  (deck)</w:t>
      </w:r>
    </w:p>
    <w:p>
      <w:pPr>
        <w:pStyle w:val="PullQuote"/>
      </w:pPr>
      <w:r>
        <w:t>“Income from operations $ 525,595 15.7 % $ 559,057 18.2 %”  (deck)</w:t>
      </w:r>
    </w:p>
    <w:p>
      <w:r>
        <w:t>Why not consensus: Analysts credit H2 margin relief from the pricing step-up to mid-2% and moderating inflation, which is correct directionally. They don't layer in comp deleverage from the cyclospora-depressed quarter or the persistent G&amp;A, pre-opening and impairment creep (0.9% of revenue vs 0.5%) visible in the non-GAAP reconciliation tables.</w:t>
      </w:r>
    </w:p>
    <w:p>
      <w:pPr>
        <w:pStyle w:val="KillCriteria"/>
      </w:pPr>
      <w:r>
        <w:t>Falsifier: Q3 2026 restaurant-level margin of 23.0% or higher (a decline under 150bps from 24.5%) and adjusted EPS of $0.30 would refute the deleverage call.</w:t>
      </w:r>
    </w:p>
    <w:p>
      <w:pPr>
        <w:pStyle w:val="SubHeading"/>
      </w:pPr>
      <w:r>
        <w:t>Claim 3 — consensus_next_fy_eps</w:t>
      </w:r>
    </w:p>
    <w:p>
      <w:r>
        <w:t>Consensus FY27 back-solves to ~15.2% operating margin, roughly +100bps over 2026's ~14.2%. Management states it is reinvesting HEEP labor savings and pricing below inflation, and L&amp;H wages (+3.9%) exceed food-away CPI (+3.4%), which exceeds CMG's ~2.5% price. We model ~3% comp (HEEP-supported) and only ~+35bps of margin (14.35%): ~$2.05B operating income, $1.29 EPS on ~1,225M shares.</w:t>
      </w:r>
    </w:p>
    <w:p>
      <w:r>
        <w:t>Street anchor: $1.37 (yfinance consensus (FY2027)) → Our view: $1.29</w:t>
      </w:r>
    </w:p>
    <w:p>
      <w:pPr>
        <w:pStyle w:val="PullQuote"/>
      </w:pPr>
      <w:r>
        <w:t>“Because we're reinvesting the labor efficiency back into our restaurants, our crews can spend more time with our guests, strengthening hospitality”  (transcript)</w:t>
      </w:r>
    </w:p>
    <w:p>
      <w:pPr>
        <w:pStyle w:val="PullQuote"/>
      </w:pPr>
      <w:r>
        <w:t>“We also continue to invest in value for our guests by pricing below inflation because we believe reinforcing our value”  (transcript)</w:t>
      </w:r>
    </w:p>
    <w:p>
      <w:pPr>
        <w:pStyle w:val="PullQuote"/>
      </w:pPr>
      <w:r>
        <w:t>“Avg hourly earnings: Leisure &amp; Hospitality: $23.90 (as of 2026-09-01), ↑ +3.9% YoY”  (macro)</w:t>
      </w:r>
    </w:p>
    <w:p>
      <w:r>
        <w:t>Why not consensus: Sell-side treats 2027 as a lap-the-investments normalization year and models HEEP as a labor-margin lever. It underweights management's on-record statements that efficiency is reinvested and pricing stays below inflation. Revisions have been one-directional (5 up / 0 down), extrapolating the Q2 beat-and-raise.</w:t>
      </w:r>
    </w:p>
    <w:p>
      <w:pPr>
        <w:pStyle w:val="KillCriteria"/>
      </w:pPr>
      <w:r>
        <w:t>Falsifier: A Q4 2026 call (early February 2027) guiding 2027 restaurant-level margin expansion of 75bps or more, or Q3/Q4 2026 RLM declines narrowing to under 100bps year over year, would show the margin rebuild is under way.</w:t>
      </w:r>
    </w:p>
    <w:p>
      <w:r>
        <w:t>Management tone shift in Q3 2025→Q4 2025: overall business performance framing: upgrade — Management pivoted from admitting a miss to reframing the full year positively, signaling a delibera</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same_store_sales</w:t>
            </w:r>
          </w:p>
        </w:tc>
        <w:tc>
          <w:tcPr>
            <w:tcW w:type="dxa" w:w="2448"/>
            <w:tcBorders>
              <w:top w:val="single" w:sz="4" w:color="BDC3C7"/>
              <w:bottom w:val="single" w:sz="4" w:color="BDC3C7"/>
              <w:left w:val="single" w:sz="4" w:color="BDC3C7"/>
              <w:right w:val="single" w:sz="4" w:color="BDC3C7"/>
            </w:tcBorders>
          </w:tcPr>
          <w:p>
            <w:r>
              <w:rPr>
                <w:b/>
              </w:rPr>
              <w:t>+2.28%</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traffic</w:t>
            </w:r>
          </w:p>
        </w:tc>
        <w:tc>
          <w:tcPr>
            <w:tcW w:type="dxa" w:w="2448"/>
            <w:tcBorders>
              <w:top w:val="single" w:sz="4" w:color="BDC3C7"/>
              <w:bottom w:val="single" w:sz="4" w:color="BDC3C7"/>
              <w:left w:val="single" w:sz="4" w:color="BDC3C7"/>
              <w:right w:val="single" w:sz="4" w:color="BDC3C7"/>
            </w:tcBorders>
          </w:tcPr>
          <w:p>
            <w:r>
              <w:t>+0.34%</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Management's most recent guide (Q2 2026 call) is FY comp 'in the low single-digit range'. Transactions were +0.6% in Q1 and +1.0% in Q2 per the CFO and press release. We model Q3 at roughly -1% because the CFO said Q3 ex</w:t>
            </w:r>
          </w:p>
        </w:tc>
      </w:tr>
      <w:tr>
        <w:tc>
          <w:tcPr>
            <w:tcW w:type="dxa" w:w="2448"/>
            <w:tcBorders>
              <w:top w:val="single" w:sz="4" w:color="BDC3C7"/>
              <w:bottom w:val="single" w:sz="4" w:color="BDC3C7"/>
              <w:left w:val="single" w:sz="4" w:color="BDC3C7"/>
              <w:right w:val="single" w:sz="4" w:color="BDC3C7"/>
            </w:tcBorders>
          </w:tcPr>
          <w:p>
            <w:r>
              <w:t xml:space="preserve">    price</w:t>
            </w:r>
          </w:p>
        </w:tc>
        <w:tc>
          <w:tcPr>
            <w:tcW w:type="dxa" w:w="2448"/>
            <w:tcBorders>
              <w:top w:val="single" w:sz="4" w:color="BDC3C7"/>
              <w:bottom w:val="single" w:sz="4" w:color="BDC3C7"/>
              <w:left w:val="single" w:sz="4" w:color="BDC3C7"/>
              <w:right w:val="single" w:sz="4" w:color="BDC3C7"/>
            </w:tcBorders>
          </w:tcPr>
          <w:p>
            <w:r>
              <w:t>+2.30%</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On the Q2 2026 call, CFO Adam Rymer said pricing was ~1.6% in Q2, will rise to the mid-2% range in Q3, and FY will 'land near the high end of the 1% to 2% range'. We use 1.9%, in line with guide. This sits well below the</w:t>
            </w:r>
          </w:p>
        </w:tc>
      </w:tr>
      <w:tr>
        <w:tc>
          <w:tcPr>
            <w:tcW w:type="dxa" w:w="2448"/>
            <w:tcBorders>
              <w:top w:val="single" w:sz="4" w:color="BDC3C7"/>
              <w:bottom w:val="single" w:sz="4" w:color="BDC3C7"/>
              <w:left w:val="single" w:sz="4" w:color="BDC3C7"/>
              <w:right w:val="single" w:sz="4" w:color="BDC3C7"/>
            </w:tcBorders>
          </w:tcPr>
          <w:p>
            <w:r>
              <w:t xml:space="preserve">    mix</w:t>
            </w:r>
          </w:p>
        </w:tc>
        <w:tc>
          <w:tcPr>
            <w:tcW w:type="dxa" w:w="2448"/>
            <w:tcBorders>
              <w:top w:val="single" w:sz="4" w:color="BDC3C7"/>
              <w:bottom w:val="single" w:sz="4" w:color="BDC3C7"/>
              <w:left w:val="single" w:sz="4" w:color="BDC3C7"/>
              <w:right w:val="single" w:sz="4" w:color="BDC3C7"/>
            </w:tcBorders>
          </w:tcPr>
          <w:p>
            <w:r>
              <w:t>-0.36%</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On the Q1 2026 call the CFO said mix was a drag of about 100bps, driven by lower group size versus COVID-era highs. In Q2, check of +1.2% on ~1.6% price implies ~-40bps mix. We model ~-60bps FY, narrowing as group-size n</w:t>
            </w:r>
          </w:p>
        </w:tc>
      </w:tr>
      <w:tr>
        <w:tc>
          <w:tcPr>
            <w:tcW w:type="dxa" w:w="2448"/>
            <w:tcBorders>
              <w:top w:val="single" w:sz="4" w:color="BDC3C7"/>
              <w:bottom w:val="single" w:sz="4" w:color="BDC3C7"/>
              <w:left w:val="single" w:sz="4" w:color="BDC3C7"/>
              <w:right w:val="single" w:sz="4" w:color="BDC3C7"/>
            </w:tcBorders>
          </w:tcPr>
          <w:p>
            <w:r>
              <w:rPr>
                <w:b/>
              </w:rPr>
              <w:t>new_restaurant_openings</w:t>
            </w:r>
          </w:p>
        </w:tc>
        <w:tc>
          <w:tcPr>
            <w:tcW w:type="dxa" w:w="2448"/>
            <w:tcBorders>
              <w:top w:val="single" w:sz="4" w:color="BDC3C7"/>
              <w:bottom w:val="single" w:sz="4" w:color="BDC3C7"/>
              <w:left w:val="single" w:sz="4" w:color="BDC3C7"/>
              <w:right w:val="single" w:sz="4" w:color="BDC3C7"/>
            </w:tcBorders>
          </w:tcPr>
          <w:p>
            <w:r>
              <w:rPr>
                <w:b/>
              </w:rPr>
              <w:t>360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company_owned_openings</w:t>
            </w:r>
          </w:p>
        </w:tc>
        <w:tc>
          <w:tcPr>
            <w:tcW w:type="dxa" w:w="2448"/>
            <w:tcBorders>
              <w:top w:val="single" w:sz="4" w:color="BDC3C7"/>
              <w:bottom w:val="single" w:sz="4" w:color="BDC3C7"/>
              <w:left w:val="single" w:sz="4" w:color="BDC3C7"/>
              <w:right w:val="single" w:sz="4" w:color="BDC3C7"/>
            </w:tcBorders>
          </w:tcPr>
          <w:p>
            <w:r>
              <w:t>360</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The Q2 2026 press release guides 350-370 new company-owned openings for FY2026, ~80% with Chipotlanes. Year to date: 42 in Q1 and 100 in Q2, with H2 seasonally heavier (Q4 2025 alone was 132). The CFO said cannibalizatio</w:t>
            </w:r>
          </w:p>
        </w:tc>
      </w:tr>
      <w:tr>
        <w:tc>
          <w:tcPr>
            <w:tcW w:type="dxa" w:w="2448"/>
            <w:tcBorders>
              <w:top w:val="single" w:sz="4" w:color="BDC3C7"/>
              <w:bottom w:val="single" w:sz="4" w:color="BDC3C7"/>
              <w:left w:val="single" w:sz="4" w:color="BDC3C7"/>
              <w:right w:val="single" w:sz="4" w:color="BDC3C7"/>
            </w:tcBorders>
          </w:tcPr>
          <w:p>
            <w:r>
              <w:rPr>
                <w:b/>
              </w:rPr>
              <w:t>food_cost</w:t>
            </w:r>
          </w:p>
        </w:tc>
        <w:tc>
          <w:tcPr>
            <w:tcW w:type="dxa" w:w="2448"/>
            <w:tcBorders>
              <w:top w:val="single" w:sz="4" w:color="BDC3C7"/>
              <w:bottom w:val="single" w:sz="4" w:color="BDC3C7"/>
              <w:left w:val="single" w:sz="4" w:color="BDC3C7"/>
              <w:right w:val="single" w:sz="4" w:color="BDC3C7"/>
            </w:tcBorders>
          </w:tcPr>
          <w:p>
            <w:r>
              <w:rPr>
                <w:b/>
              </w:rPr>
              <w:t>+91bps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beef_and_produce_inflation</w:t>
            </w:r>
          </w:p>
        </w:tc>
        <w:tc>
          <w:tcPr>
            <w:tcW w:type="dxa" w:w="2448"/>
            <w:tcBorders>
              <w:top w:val="single" w:sz="4" w:color="BDC3C7"/>
              <w:bottom w:val="single" w:sz="4" w:color="BDC3C7"/>
              <w:left w:val="single" w:sz="4" w:color="BDC3C7"/>
              <w:right w:val="single" w:sz="4" w:color="BDC3C7"/>
            </w:tcBorders>
          </w:tcPr>
          <w:p>
            <w:r>
              <w:t>+91bps</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Q2 2026 food, beverage and packaging was 29.7% versus 28.9% a year earlier (+80bps). The press release attributed this to 'inflation, primarily from beef and freight, and higher protein and produce usage'. The Q1 call gu</w:t>
            </w:r>
          </w:p>
        </w:tc>
      </w:tr>
      <w:tr>
        <w:tc>
          <w:tcPr>
            <w:tcW w:type="dxa" w:w="2448"/>
            <w:tcBorders>
              <w:top w:val="single" w:sz="4" w:color="BDC3C7"/>
              <w:bottom w:val="single" w:sz="4" w:color="BDC3C7"/>
              <w:left w:val="single" w:sz="4" w:color="BDC3C7"/>
              <w:right w:val="single" w:sz="4" w:color="BDC3C7"/>
            </w:tcBorders>
          </w:tcPr>
          <w:p>
            <w:r>
              <w:rPr>
                <w:b/>
              </w:rPr>
              <w:t>labor_cost</w:t>
            </w:r>
          </w:p>
        </w:tc>
        <w:tc>
          <w:tcPr>
            <w:tcW w:type="dxa" w:w="2448"/>
            <w:tcBorders>
              <w:top w:val="single" w:sz="4" w:color="BDC3C7"/>
              <w:bottom w:val="single" w:sz="4" w:color="BDC3C7"/>
              <w:left w:val="single" w:sz="4" w:color="BDC3C7"/>
              <w:right w:val="single" w:sz="4" w:color="BDC3C7"/>
            </w:tcBorders>
          </w:tcPr>
          <w:p>
            <w:r>
              <w:rPr>
                <w:b/>
              </w:rPr>
              <w:t>+77bps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wage_inflation_and_staffing_investment</w:t>
            </w:r>
          </w:p>
        </w:tc>
        <w:tc>
          <w:tcPr>
            <w:tcW w:type="dxa" w:w="2448"/>
            <w:tcBorders>
              <w:top w:val="single" w:sz="4" w:color="BDC3C7"/>
              <w:bottom w:val="single" w:sz="4" w:color="BDC3C7"/>
              <w:left w:val="single" w:sz="4" w:color="BDC3C7"/>
              <w:right w:val="single" w:sz="4" w:color="BDC3C7"/>
            </w:tcBorders>
          </w:tcPr>
          <w:p>
            <w:r>
              <w:t>+77bps</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 xml:space="preserve">Q1 2026 adjusted labor was 25.7% of revenue versus 25.0% (+70bps, deck p.3). BLS leisure-and-hospitality wages are +3.9% YoY, above the ~1.9% price. Management states HEEP time savings are reinvested rather than banked: </w:t>
            </w:r>
          </w:p>
        </w:tc>
      </w:tr>
      <w:tr>
        <w:tc>
          <w:tcPr>
            <w:tcW w:type="dxa" w:w="2448"/>
            <w:tcBorders>
              <w:top w:val="single" w:sz="4" w:color="BDC3C7"/>
              <w:bottom w:val="single" w:sz="4" w:color="BDC3C7"/>
              <w:left w:val="single" w:sz="4" w:color="BDC3C7"/>
              <w:right w:val="single" w:sz="4" w:color="BDC3C7"/>
            </w:tcBorders>
          </w:tcPr>
          <w:p>
            <w:r>
              <w:rPr>
                <w:b/>
              </w:rPr>
              <w:t>other_operating_cost</w:t>
            </w:r>
          </w:p>
        </w:tc>
        <w:tc>
          <w:tcPr>
            <w:tcW w:type="dxa" w:w="2448"/>
            <w:tcBorders>
              <w:top w:val="single" w:sz="4" w:color="BDC3C7"/>
              <w:bottom w:val="single" w:sz="4" w:color="BDC3C7"/>
              <w:left w:val="single" w:sz="4" w:color="BDC3C7"/>
              <w:right w:val="single" w:sz="4" w:color="BDC3C7"/>
            </w:tcBorders>
          </w:tcPr>
          <w:p>
            <w:r>
              <w:rPr>
                <w:b/>
              </w:rPr>
              <w:t>+120bps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marketing_preopening_impairment</w:t>
            </w:r>
          </w:p>
        </w:tc>
        <w:tc>
          <w:tcPr>
            <w:tcW w:type="dxa" w:w="2448"/>
            <w:tcBorders>
              <w:top w:val="single" w:sz="4" w:color="BDC3C7"/>
              <w:bottom w:val="single" w:sz="4" w:color="BDC3C7"/>
              <w:left w:val="single" w:sz="4" w:color="BDC3C7"/>
              <w:right w:val="single" w:sz="4" w:color="BDC3C7"/>
            </w:tcBorders>
          </w:tcPr>
          <w:p>
            <w:r>
              <w:t>+120bps</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Four sources of pressure:</w:t>
              <w:br/>
              <w:t>- Marketing grew ~22% in Q1 and Q4 per the Stifel analyst; management increased spend to support 'four standalone LTOs' (Q4 2025 call).</w:t>
              <w:br/>
              <w:t>- Pre-opening rose to 0.5% of revenue from 0.3% and impair</w:t>
            </w:r>
          </w:p>
        </w:tc>
      </w:tr>
    </w:tbl>
    <w:p>
      <w:pPr>
        <w:pStyle w:val="SubHeading"/>
      </w:pPr>
      <w:r>
        <w:t>Bear revisions:</w:t>
      </w:r>
    </w:p>
    <w:p>
      <w:pPr>
        <w:pStyle w:val="ListBullet"/>
      </w:pPr>
      <w:r>
        <w:t>same_store_sales.traffic: 0.4 → -0.4 — If the cyclospora/salmonella overhang extends into Q4 (October 5 headlines 'return'), and sub-$100K cohort pressure persists with sentiment at 51.7, Q4 transactions fail to turn positive despite the easy -2.5% compare. That pushes FY traffic negative and FY comp below 1%.</w:t>
      </w:r>
    </w:p>
    <w:p>
      <w:pPr>
        <w:pStyle w:val="ListBullet"/>
      </w:pPr>
      <w:r>
        <w:t>food_cost.beef_and_produce_inflation: 65 → 100 — PPI is +9.9% YoY and beef/freight were already the cited Q2 drivers. If H2 cost inflation does not step down to 'low-to-mid-single-digit' as guided on the Q1 call, food cost stays near Q2's +80bps YoY gap for the full year.</w:t>
      </w:r>
    </w:p>
    <w:p>
      <w:pPr>
        <w:pStyle w:val="ListBullet"/>
      </w:pPr>
      <w:r>
        <w:t>other_operating_cost.marketing_preopening_impairment: 90 → 120 — A food-safety response typically requires incremental marketing and promotional support (analyst inference from the 2016 precedent). Impairment and closure costs have already doubled to 0.4% of revenue.</w:t>
      </w:r>
    </w:p>
    <w:p>
      <w:pPr>
        <w:pStyle w:val="ListBullet"/>
      </w:pPr>
      <w:r>
        <w:t>labor_cost.wage_inflation_and_staffing_investment: 55 → 80 — L&amp;H wages at +3.9% plus explicit reinvestment of HEEP labor savings and hospitality staffing, against a ~1% comp in Q3, produce more fixed-labor deleverage than modeled.</w:t>
      </w:r>
    </w:p>
    <w:p>
      <w:pPr>
        <w:pStyle w:val="ListBullet"/>
      </w:pPr>
      <w:r>
        <w:rPr>
          <w:i/>
        </w:rPr>
        <w:t>→ Research confirms: CFO Adam Rymer explicitly stated Q3 expense guidance was based on the 1% comp guide because it assumes continuation of the ~200bp cyclospora impact through the rest of the quarter, directly matching the verbatim claim. (aol.ca)</w:t>
      </w:r>
    </w:p>
    <w:p>
      <w:pPr>
        <w:pStyle w:val="ListBullet"/>
      </w:pPr>
      <w:r>
        <w:rPr>
          <w:i/>
        </w:rPr>
        <w:t>→ Research: AB 1228 directly impacts CMG's largest state labor costs: California represents ~15% of Chipotle's ~3,400 units; the $20/hr minimum (effective April 2024) increased CMG's overall labor costs by 2.5–3%, with wages rising ~20% in California specifically. CMG disclosed this in SEC filings and earnings calls but a brief citing only BLS L&amp;H wages omits this material state-specific mandate. (sec.gov)</w:t>
      </w:r>
    </w:p>
    <w:p>
      <w:pPr>
        <w:pStyle w:val="PullQuote"/>
      </w:pPr>
      <w:r>
        <w:t>Counter: the analyst claims The comp build (traffic +0.4, price +1.9, mix -0.6, total +1.7%) is a sound basis for the thesis. — but The comp-decomposition audit fails on 3 of 5 questions. (1) The analyst never splits Recipe for Growth comp into menu-innovation LTOs versus core. (2) There is no assessment of whether new items drive trial or repeat visits. (3) There is no view on category defensibility against CAVA (+27.5% revenue growth per peer_comps), Sweetgreen, or QSR value players. (4) Management investment is answered:…</w:t>
      </w:r>
    </w:p>
    <w:p>
      <w:pPr>
        <w:pStyle w:val="SectionHeading"/>
      </w:pPr>
      <w:r>
        <w:t>3. Consensus Gap &amp; Valuation</w:t>
      </w:r>
    </w:p>
    <w:p>
      <w:r>
        <w:t>Our EPS: $1.13  =  baseline $1.15  +  Σ claim impacts $-0.02 (1.7% below consensus $1.15)</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$1.15</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$1.15 → $1.13 (Δ -2.0%)</w:t>
            </w:r>
          </w:p>
        </w:tc>
        <w:tc>
          <w:tcPr>
            <w:tcW w:type="dxa" w:w="2448"/>
            <w:tcBorders>
              <w:top w:val="single" w:sz="4" w:color="BDC3C7"/>
              <w:bottom w:val="single" w:sz="4" w:color="BDC3C7"/>
              <w:left w:val="single" w:sz="4" w:color="BDC3C7"/>
              <w:right w:val="single" w:sz="4" w:color="BDC3C7"/>
            </w:tcBorders>
          </w:tcPr>
          <w:p>
            <w:r>
              <w:t>Direct EPS delta: $-0.02/share</w:t>
            </w:r>
          </w:p>
        </w:tc>
        <w:tc>
          <w:tcPr>
            <w:tcW w:type="dxa" w:w="2448"/>
            <w:tcBorders>
              <w:top w:val="single" w:sz="4" w:color="BDC3C7"/>
              <w:bottom w:val="single" w:sz="4" w:color="BDC3C7"/>
              <w:left w:val="single" w:sz="4" w:color="BDC3C7"/>
              <w:right w:val="single" w:sz="4" w:color="BDC3C7"/>
            </w:tcBorders>
          </w:tcPr>
          <w:p>
            <w:r>
              <w:t>-0.02</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-0.02</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$1.13</w:t>
            </w:r>
          </w:p>
        </w:tc>
      </w:tr>
    </w:tbl>
    <w:p>
      <w:pPr>
        <w:pStyle w:val="PullQuote"/>
      </w:pPr>
      <w:r>
        <w:t xml:space="preserve">  ⚠ 2 claim(s) target a different fiscal period than the current_fy baseline and weren't summed: consensus_q_revenue, consensus_next_fy_eps</w:t>
      </w:r>
    </w:p>
    <w:p>
      <w:r>
        <w:t>Our estimate is $0.02 (1.7%) below consensus $1.15. Primary driver: food_cost.beef_and_produce_inflation (ours +91.0 vs street +62.5, contributing $-0.020 to EPS variant, evidence: moderate). Variant appears NOT fully priced in based on available market data. Next catalyst: Next quarterly earnings report (2026-10-28 (21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food_cost.beef_and_produce_inflation</w:t>
            </w:r>
          </w:p>
        </w:tc>
        <w:tc>
          <w:tcPr>
            <w:tcW w:type="dxa" w:w="1958"/>
            <w:tcBorders>
              <w:top w:val="single" w:sz="4" w:color="BDC3C7"/>
              <w:bottom w:val="single" w:sz="4" w:color="BDC3C7"/>
              <w:left w:val="single" w:sz="4" w:color="BDC3C7"/>
              <w:right w:val="single" w:sz="4" w:color="BDC3C7"/>
            </w:tcBorders>
          </w:tcPr>
          <w:p>
            <w:r>
              <w:t>+91.00</w:t>
            </w:r>
          </w:p>
        </w:tc>
        <w:tc>
          <w:tcPr>
            <w:tcW w:type="dxa" w:w="1958"/>
            <w:tcBorders>
              <w:top w:val="single" w:sz="4" w:color="BDC3C7"/>
              <w:bottom w:val="single" w:sz="4" w:color="BDC3C7"/>
              <w:left w:val="single" w:sz="4" w:color="BDC3C7"/>
              <w:right w:val="single" w:sz="4" w:color="BDC3C7"/>
            </w:tcBorders>
          </w:tcPr>
          <w:p>
            <w:r>
              <w:t>+62.50</w:t>
            </w:r>
          </w:p>
        </w:tc>
        <w:tc>
          <w:tcPr>
            <w:tcW w:type="dxa" w:w="1958"/>
            <w:tcBorders>
              <w:top w:val="single" w:sz="4" w:color="BDC3C7"/>
              <w:bottom w:val="single" w:sz="4" w:color="BDC3C7"/>
              <w:left w:val="single" w:sz="4" w:color="BDC3C7"/>
              <w:right w:val="single" w:sz="4" w:color="BDC3C7"/>
            </w:tcBorders>
          </w:tcPr>
          <w:p>
            <w:r>
              <w:t>-0.020</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other_operating_cost.marketing_preopening_impairment</w:t>
            </w:r>
          </w:p>
        </w:tc>
        <w:tc>
          <w:tcPr>
            <w:tcW w:type="dxa" w:w="1958"/>
            <w:tcBorders>
              <w:top w:val="single" w:sz="4" w:color="BDC3C7"/>
              <w:bottom w:val="single" w:sz="4" w:color="BDC3C7"/>
              <w:left w:val="single" w:sz="4" w:color="BDC3C7"/>
              <w:right w:val="single" w:sz="4" w:color="BDC3C7"/>
            </w:tcBorders>
          </w:tcPr>
          <w:p>
            <w:r>
              <w:t>+120.00</w:t>
            </w:r>
          </w:p>
        </w:tc>
        <w:tc>
          <w:tcPr>
            <w:tcW w:type="dxa" w:w="1958"/>
            <w:tcBorders>
              <w:top w:val="single" w:sz="4" w:color="BDC3C7"/>
              <w:bottom w:val="single" w:sz="4" w:color="BDC3C7"/>
              <w:left w:val="single" w:sz="4" w:color="BDC3C7"/>
              <w:right w:val="single" w:sz="4" w:color="BDC3C7"/>
            </w:tcBorders>
          </w:tcPr>
          <w:p>
            <w:r>
              <w:t>+93.75</w:t>
            </w:r>
          </w:p>
        </w:tc>
        <w:tc>
          <w:tcPr>
            <w:tcW w:type="dxa" w:w="1958"/>
            <w:tcBorders>
              <w:top w:val="single" w:sz="4" w:color="BDC3C7"/>
              <w:bottom w:val="single" w:sz="4" w:color="BDC3C7"/>
              <w:left w:val="single" w:sz="4" w:color="BDC3C7"/>
              <w:right w:val="single" w:sz="4" w:color="BDC3C7"/>
            </w:tcBorders>
          </w:tcPr>
          <w:p>
            <w:r>
              <w:t>-0.018</w:t>
            </w:r>
          </w:p>
        </w:tc>
        <w:tc>
          <w:tcPr>
            <w:tcW w:type="dxa" w:w="1958"/>
            <w:tcBorders>
              <w:top w:val="single" w:sz="4" w:color="BDC3C7"/>
              <w:bottom w:val="single" w:sz="4" w:color="BDC3C7"/>
              <w:left w:val="single" w:sz="4" w:color="BDC3C7"/>
              <w:right w:val="single" w:sz="4" w:color="BDC3C7"/>
            </w:tcBorders>
          </w:tcPr>
          <w:p>
            <w:r>
              <w:t>0.35</w:t>
            </w:r>
          </w:p>
        </w:tc>
      </w:tr>
      <w:tr>
        <w:tc>
          <w:tcPr>
            <w:tcW w:type="dxa" w:w="1958"/>
            <w:tcBorders>
              <w:top w:val="single" w:sz="4" w:color="BDC3C7"/>
              <w:bottom w:val="single" w:sz="4" w:color="BDC3C7"/>
              <w:left w:val="single" w:sz="4" w:color="BDC3C7"/>
              <w:right w:val="single" w:sz="4" w:color="BDC3C7"/>
            </w:tcBorders>
          </w:tcPr>
          <w:p>
            <w:r>
              <w:t>new_restaurant_openings.company_owned_openings</w:t>
            </w:r>
          </w:p>
        </w:tc>
        <w:tc>
          <w:tcPr>
            <w:tcW w:type="dxa" w:w="1958"/>
            <w:tcBorders>
              <w:top w:val="single" w:sz="4" w:color="BDC3C7"/>
              <w:bottom w:val="single" w:sz="4" w:color="BDC3C7"/>
              <w:left w:val="single" w:sz="4" w:color="BDC3C7"/>
              <w:right w:val="single" w:sz="4" w:color="BDC3C7"/>
            </w:tcBorders>
          </w:tcPr>
          <w:p>
            <w:r>
              <w:t>+360.00</w:t>
            </w:r>
          </w:p>
        </w:tc>
        <w:tc>
          <w:tcPr>
            <w:tcW w:type="dxa" w:w="1958"/>
            <w:tcBorders>
              <w:top w:val="single" w:sz="4" w:color="BDC3C7"/>
              <w:bottom w:val="single" w:sz="4" w:color="BDC3C7"/>
              <w:left w:val="single" w:sz="4" w:color="BDC3C7"/>
              <w:right w:val="single" w:sz="4" w:color="BDC3C7"/>
            </w:tcBorders>
          </w:tcPr>
          <w:p>
            <w:r>
              <w:t>+281.25</w:t>
            </w:r>
          </w:p>
        </w:tc>
        <w:tc>
          <w:tcPr>
            <w:tcW w:type="dxa" w:w="1958"/>
            <w:tcBorders>
              <w:top w:val="single" w:sz="4" w:color="BDC3C7"/>
              <w:bottom w:val="single" w:sz="4" w:color="BDC3C7"/>
              <w:left w:val="single" w:sz="4" w:color="BDC3C7"/>
              <w:right w:val="single" w:sz="4" w:color="BDC3C7"/>
            </w:tcBorders>
          </w:tcPr>
          <w:p>
            <w:r>
              <w:t>-0.016</w:t>
            </w:r>
          </w:p>
        </w:tc>
        <w:tc>
          <w:tcPr>
            <w:tcW w:type="dxa" w:w="1958"/>
            <w:tcBorders>
              <w:top w:val="single" w:sz="4" w:color="BDC3C7"/>
              <w:bottom w:val="single" w:sz="4" w:color="BDC3C7"/>
              <w:left w:val="single" w:sz="4" w:color="BDC3C7"/>
              <w:right w:val="single" w:sz="4" w:color="BDC3C7"/>
            </w:tcBorders>
          </w:tcPr>
          <w:p>
            <w:r>
              <w:t>0.70</w:t>
            </w:r>
          </w:p>
        </w:tc>
      </w:tr>
      <w:tr>
        <w:tc>
          <w:tcPr>
            <w:tcW w:type="dxa" w:w="1958"/>
            <w:tcBorders>
              <w:top w:val="single" w:sz="4" w:color="BDC3C7"/>
              <w:bottom w:val="single" w:sz="4" w:color="BDC3C7"/>
              <w:left w:val="single" w:sz="4" w:color="BDC3C7"/>
              <w:right w:val="single" w:sz="4" w:color="BDC3C7"/>
            </w:tcBorders>
          </w:tcPr>
          <w:p>
            <w:r>
              <w:t>labor_cost.wage_inflation_and_staffing_investment</w:t>
            </w:r>
          </w:p>
        </w:tc>
        <w:tc>
          <w:tcPr>
            <w:tcW w:type="dxa" w:w="1958"/>
            <w:tcBorders>
              <w:top w:val="single" w:sz="4" w:color="BDC3C7"/>
              <w:bottom w:val="single" w:sz="4" w:color="BDC3C7"/>
              <w:left w:val="single" w:sz="4" w:color="BDC3C7"/>
              <w:right w:val="single" w:sz="4" w:color="BDC3C7"/>
            </w:tcBorders>
          </w:tcPr>
          <w:p>
            <w:r>
              <w:t>+77.00</w:t>
            </w:r>
          </w:p>
        </w:tc>
        <w:tc>
          <w:tcPr>
            <w:tcW w:type="dxa" w:w="1958"/>
            <w:tcBorders>
              <w:top w:val="single" w:sz="4" w:color="BDC3C7"/>
              <w:bottom w:val="single" w:sz="4" w:color="BDC3C7"/>
              <w:left w:val="single" w:sz="4" w:color="BDC3C7"/>
              <w:right w:val="single" w:sz="4" w:color="BDC3C7"/>
            </w:tcBorders>
          </w:tcPr>
          <w:p>
            <w:r>
              <w:t>+54.69</w:t>
            </w:r>
          </w:p>
        </w:tc>
        <w:tc>
          <w:tcPr>
            <w:tcW w:type="dxa" w:w="1958"/>
            <w:tcBorders>
              <w:top w:val="single" w:sz="4" w:color="BDC3C7"/>
              <w:bottom w:val="single" w:sz="4" w:color="BDC3C7"/>
              <w:left w:val="single" w:sz="4" w:color="BDC3C7"/>
              <w:right w:val="single" w:sz="4" w:color="BDC3C7"/>
            </w:tcBorders>
          </w:tcPr>
          <w:p>
            <w:r>
              <w:t>-0.016</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same_store_sales.mix</w:t>
            </w:r>
          </w:p>
        </w:tc>
        <w:tc>
          <w:tcPr>
            <w:tcW w:type="dxa" w:w="1958"/>
            <w:tcBorders>
              <w:top w:val="single" w:sz="4" w:color="BDC3C7"/>
              <w:bottom w:val="single" w:sz="4" w:color="BDC3C7"/>
              <w:left w:val="single" w:sz="4" w:color="BDC3C7"/>
              <w:right w:val="single" w:sz="4" w:color="BDC3C7"/>
            </w:tcBorders>
          </w:tcPr>
          <w:p>
            <w:r>
              <w:t>-0.36</w:t>
            </w:r>
          </w:p>
        </w:tc>
        <w:tc>
          <w:tcPr>
            <w:tcW w:type="dxa" w:w="1958"/>
            <w:tcBorders>
              <w:top w:val="single" w:sz="4" w:color="BDC3C7"/>
              <w:bottom w:val="single" w:sz="4" w:color="BDC3C7"/>
              <w:left w:val="single" w:sz="4" w:color="BDC3C7"/>
              <w:right w:val="single" w:sz="4" w:color="BDC3C7"/>
            </w:tcBorders>
          </w:tcPr>
          <w:p>
            <w:r>
              <w:t>+0.12</w:t>
            </w:r>
          </w:p>
        </w:tc>
        <w:tc>
          <w:tcPr>
            <w:tcW w:type="dxa" w:w="1958"/>
            <w:tcBorders>
              <w:top w:val="single" w:sz="4" w:color="BDC3C7"/>
              <w:bottom w:val="single" w:sz="4" w:color="BDC3C7"/>
              <w:left w:val="single" w:sz="4" w:color="BDC3C7"/>
              <w:right w:val="single" w:sz="4" w:color="BDC3C7"/>
            </w:tcBorders>
          </w:tcPr>
          <w:p>
            <w:r>
              <w:t>-0.014</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same_store_sales.traffic</w:t>
            </w:r>
          </w:p>
        </w:tc>
        <w:tc>
          <w:tcPr>
            <w:tcW w:type="dxa" w:w="1958"/>
            <w:tcBorders>
              <w:top w:val="single" w:sz="4" w:color="BDC3C7"/>
              <w:bottom w:val="single" w:sz="4" w:color="BDC3C7"/>
              <w:left w:val="single" w:sz="4" w:color="BDC3C7"/>
              <w:right w:val="single" w:sz="4" w:color="BDC3C7"/>
            </w:tcBorders>
          </w:tcPr>
          <w:p>
            <w:r>
              <w:t>+0.34</w:t>
            </w:r>
          </w:p>
        </w:tc>
        <w:tc>
          <w:tcPr>
            <w:tcW w:type="dxa" w:w="1958"/>
            <w:tcBorders>
              <w:top w:val="single" w:sz="4" w:color="BDC3C7"/>
              <w:bottom w:val="single" w:sz="4" w:color="BDC3C7"/>
              <w:left w:val="single" w:sz="4" w:color="BDC3C7"/>
              <w:right w:val="single" w:sz="4" w:color="BDC3C7"/>
            </w:tcBorders>
          </w:tcPr>
          <w:p>
            <w:r>
              <w:t>+0.70</w:t>
            </w:r>
          </w:p>
        </w:tc>
        <w:tc>
          <w:tcPr>
            <w:tcW w:type="dxa" w:w="1958"/>
            <w:tcBorders>
              <w:top w:val="single" w:sz="4" w:color="BDC3C7"/>
              <w:bottom w:val="single" w:sz="4" w:color="BDC3C7"/>
              <w:left w:val="single" w:sz="4" w:color="BDC3C7"/>
              <w:right w:val="single" w:sz="4" w:color="BDC3C7"/>
            </w:tcBorders>
          </w:tcPr>
          <w:p>
            <w:r>
              <w:t>-0.011</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same_store_sales.price</w:t>
            </w:r>
          </w:p>
        </w:tc>
        <w:tc>
          <w:tcPr>
            <w:tcW w:type="dxa" w:w="1958"/>
            <w:tcBorders>
              <w:top w:val="single" w:sz="4" w:color="BDC3C7"/>
              <w:bottom w:val="single" w:sz="4" w:color="BDC3C7"/>
              <w:left w:val="single" w:sz="4" w:color="BDC3C7"/>
              <w:right w:val="single" w:sz="4" w:color="BDC3C7"/>
            </w:tcBorders>
          </w:tcPr>
          <w:p>
            <w:r>
              <w:t>+2.30</w:t>
            </w:r>
          </w:p>
        </w:tc>
        <w:tc>
          <w:tcPr>
            <w:tcW w:type="dxa" w:w="1958"/>
            <w:tcBorders>
              <w:top w:val="single" w:sz="4" w:color="BDC3C7"/>
              <w:bottom w:val="single" w:sz="4" w:color="BDC3C7"/>
              <w:left w:val="single" w:sz="4" w:color="BDC3C7"/>
              <w:right w:val="single" w:sz="4" w:color="BDC3C7"/>
            </w:tcBorders>
          </w:tcPr>
          <w:p>
            <w:r>
              <w:t>+2.66</w:t>
            </w:r>
          </w:p>
        </w:tc>
        <w:tc>
          <w:tcPr>
            <w:tcW w:type="dxa" w:w="1958"/>
            <w:tcBorders>
              <w:top w:val="single" w:sz="4" w:color="BDC3C7"/>
              <w:bottom w:val="single" w:sz="4" w:color="BDC3C7"/>
              <w:left w:val="single" w:sz="4" w:color="BDC3C7"/>
              <w:right w:val="single" w:sz="4" w:color="BDC3C7"/>
            </w:tcBorders>
          </w:tcPr>
          <w:p>
            <w:r>
              <w:t>-0.011</w:t>
            </w:r>
          </w:p>
        </w:tc>
        <w:tc>
          <w:tcPr>
            <w:tcW w:type="dxa" w:w="1958"/>
            <w:tcBorders>
              <w:top w:val="single" w:sz="4" w:color="BDC3C7"/>
              <w:bottom w:val="single" w:sz="4" w:color="BDC3C7"/>
              <w:left w:val="single" w:sz="4" w:color="BDC3C7"/>
              <w:right w:val="single" w:sz="4" w:color="BDC3C7"/>
            </w:tcBorders>
          </w:tcPr>
          <w:p>
            <w:r>
              <w:t>0.65</w:t>
            </w:r>
          </w:p>
        </w:tc>
      </w:tr>
    </w:tbl>
    <w:p>
      <w:r>
        <w:t>Priced in: not fully — Variant (-1.7%) exceeds implied move (3.5%)</w:t>
      </w:r>
    </w:p>
    <w:p>
      <w:r>
        <w:t>Edge verdict: POSSIBLE_EDGE (score 0.036).</w:t>
      </w:r>
    </w:p>
    <w:p>
      <w:pPr>
        <w:pStyle w:val="SectionHeading"/>
      </w:pPr>
      <w:r>
        <w:t>4. Catalysts</w:t>
      </w:r>
    </w:p>
    <w:p>
      <w:pPr>
        <w:pStyle w:val="ListBullet"/>
      </w:pPr>
      <w:r>
        <w:t>Next quarterly earnings report (2026-10-28 (21 days)) — resolves revenue + margins + guidance; confirms or challenges</w:t>
      </w:r>
    </w:p>
    <w:p>
      <w:pPr>
        <w:pStyle w:val="ListBullet"/>
      </w:pPr>
      <w:r>
        <w:t>Resolution: Bull case: HEEP labor efficiency and throughput gains will rebuild restaurant-le (Resolves at earnings (2026-10-28)) — resolves labor_cost; confirms or challenges</w:t>
      </w:r>
    </w:p>
    <w:p>
      <w:pPr>
        <w:pStyle w:val="ListBullet"/>
      </w:pPr>
      <w:r>
        <w:t>Resolution: Bull case: comp recovery is durable with positive transactions, supporting the r (Resolves over 2-4 quarters) — resolves same_store_sales; confirms or challenges</w:t>
      </w:r>
    </w:p>
    <w:p>
      <w:pPr>
        <w:pStyle w:val="ListBullet"/>
      </w:pPr>
      <w:r>
        <w:t>Resolution: Bear case (against our own view): margin compression is front-loaded and managem (Resolves at earnings (2026-10-28)) — resolves food_cost; confirms or challenges</w:t>
      </w:r>
    </w:p>
    <w:p>
      <w:pPr>
        <w:pStyle w:val="ListBullet"/>
      </w:pPr>
      <w:r>
        <w:t>Exact definition of the 'that 1% guide' referenced by the CFO (Q3 comp vs another metric). The trans (Unknown timing) — resolves multiple; resolves uncertainty</w:t>
      </w:r>
    </w:p>
    <w:p>
      <w:pPr>
        <w:pStyle w:val="ListBullet"/>
      </w:pPr>
      <w:r>
        <w:t>Actual magnitude and duration of cyclospora-related traffic loss in July to September 2026, and whet (Unknown timing) — resolves multiple; resolves uncertainty</w:t>
      </w:r>
    </w:p>
    <w:p>
      <w:pPr>
        <w:pStyle w:val="SectionHeading"/>
      </w:pPr>
      <w:r>
        <w:t>5. Risks, Blind Spots &amp; Kill Criteria</w:t>
      </w:r>
    </w:p>
    <w:p>
      <w:pPr>
        <w:pStyle w:val="SubHeading"/>
      </w:pPr>
      <w:r>
        <w:t>Top risks:</w:t>
      </w:r>
    </w:p>
    <w:p>
      <w:pPr>
        <w:pStyle w:val="ListBullet"/>
      </w:pPr>
      <w:r>
        <w:t>Bull case: HEEP labor efficiency and throughput gains will rebuild restaurant-level margin in 2027 as investments lap. — counter: The CEO said on the Q2 2026 call that 'we're reinvesting the labor efficiency back into our restaurants', and on Q1 that time savings are reinvested 'to strengthen throughput and hospitality'. HEEP is being run as a comp lever, not a margin lever. Q1 adjusted labor rose 70bps YoY even with HEEP in 600+ stores. [serious]</w:t>
      </w:r>
    </w:p>
    <w:p>
      <w:pPr>
        <w:pStyle w:val="ListBullet"/>
      </w:pPr>
      <w:r>
        <w:t>Consensus: FY27 EPS +19% is reasonable given unit growth plus recovering comps. — counter: Restaurant peers convert similar revenue growth into far less EPS growth: TXRH +11.2% revenue / +7.6% EPS, DRI +3.7% / +5.8%, CAVA +27.5% / +1.4%. CMG's +10.9% revenue / +19% EPS requires ~100bps of margin repair against L&amp;H wage growth of +3.9% and pricing below 3.4% food-away CPI. [serious]</w:t>
      </w:r>
    </w:p>
    <w:p>
      <w:pPr>
        <w:pStyle w:val="ListBullet2"/>
      </w:pPr>
      <w:r>
        <w:rPr>
          <w:i/>
        </w:rPr>
        <w:t>→ Research [CONTRADICTS]: TXRH H1 2026 shows 11.9% revenue growth converting to 4.2% EPS growth, not 7.6%. Q2 alone shows 11.1% revenue with -0.5% EPS. DRI Q1 FY2027 shows 5.1% revenue with 4.1% EPS, not 3.7% into 5.8%. CAVA revenue growth confirmed at 31-32% but EPS conversion ratio unverified. (tipranks.com)</w:t>
      </w:r>
    </w:p>
    <w:p>
      <w:pPr>
        <w:pStyle w:val="ListBullet"/>
      </w:pPr>
      <w:r>
        <w:t>The Street's FY27 EPS rebound (+19%) contradicts management's explicit choice to reinvest, so the rebound is unjustified. — counter: The analyst's own numbers forecast a large rebound too: $1.13 to $1.29 is +14% YoY, about 75% of the Street's +19%. FY25 actual EPS, summed from quarterly_fin ($0.28+$0.32+$0.29+$0.25), is $1.14. So FY26 consensus of $1.15 is flat YoY and the analyst's $1.13 is -1%. The FY26 variance is about 2 cents (1.7%), which is noise. The FY27 variance is about 8 cents (6%), sits 15 months out, and rests on a reversible management choice. The thesis is really 'the rebound is somewhat smaller than expected,' not 'the rebound contradicts management.' Sources checked: quarterly_fin, the provided consensus field, and the analyst thesis. The Street FY27 figure of $1.37 does not appear anywhere in the corpus and cannot be verified. [serious]</w:t>
      </w:r>
    </w:p>
    <w:p>
      <w:pPr>
        <w:pStyle w:val="SubHeading"/>
      </w:pPr>
      <w:r>
        <w:t>Blind spots (auditor-independent):</w:t>
      </w:r>
    </w:p>
    <w:p>
      <w:pPr>
        <w:pStyle w:val="ListBullet"/>
      </w:pPr>
      <w:r>
        <w:t>Takeover/M&amp;A optionality. Material news on 10/1 and 10/6 shows CMG shares rising on takeover rumors and specifically Starbucks merger speculation. Starbucks' CEO is Chipotle's former CEO, which makes the rumor more credible to the market whether or not it is real. Shorting a stock at 52-week lows with live M&amp;A chatter is a negatively skewed bet, and the pitch never mentions it.</w:t>
      </w:r>
    </w:p>
    <w:p>
      <w:pPr>
        <w:pStyle w:val="ListBullet"/>
      </w:pPr>
      <w:r>
        <w:t>Entry point and positioning. The stock is near 52-week lows (Motley Fool, 10/7), and sell-side/retail commentary is already arguing 'the margin math is why I still say Buy' (Seeking Alpha, 10/1). Much of the margin compression is already in the price. The pitch has no valuation leg: no target multiple, no implied downside, no comparison to peers such as TXRH at 24.7x or CAVA at 95x (peer_comps).</w:t>
      </w:r>
    </w:p>
    <w:p>
      <w:pPr>
        <w:pStyle w:val="ListBullet"/>
      </w:pPr>
      <w:r>
        <w:t>Buybacks at depressed prices. CMG repurchased $1.5B in FY24 (filing) on a 1,370M diluted share base. At a lower share price, the same dollars retire more shares, mechanically lifting FY27 EPS. Management could also accelerate repurchases to signal confidence or defend against activists or bidders. Neither scenario appears in the bridge.</w:t>
      </w:r>
    </w:p>
    <w:p>
      <w:pPr>
        <w:pStyle w:val="KillCriteria"/>
      </w:pPr>
      <w:r>
        <w:t>What would change our mind: Print on food_cost.beef_and_produce_inflation comes in below our +91.0 figure (toward street +62.5) in the next 1-2 prints.</w:t>
      </w:r>
    </w:p>
    <w:p>
      <w:pPr>
        <w:pStyle w:val="SectionHeading"/>
      </w:pPr>
      <w:r>
        <w:t>Appendix</w:t>
      </w:r>
    </w:p>
    <w:p>
      <w:pPr>
        <w:pStyle w:val="SubHeading"/>
      </w:pPr>
      <w:r>
        <w:t>Evidence gaps (research TODO):</w:t>
      </w:r>
    </w:p>
    <w:p>
      <w:pPr>
        <w:pStyle w:val="ListBullet"/>
      </w:pPr>
      <w:r>
        <w:t>Exact definition of the 'that 1% guide' referenced by the CFO (Q3 comp vs another metric). The transcript fragment is truncated; confirmation would raise conviction on the Q3 revenue claim.</w:t>
      </w:r>
    </w:p>
    <w:p>
      <w:pPr>
        <w:pStyle w:val="ListBullet"/>
      </w:pPr>
      <w:r>
        <w:t>Actual magnitude and duration of cyclospora-related traffic loss in July to September 2026, and whether the October 5 food-safety headlines are a new incident.</w:t>
      </w:r>
    </w:p>
    <w:p>
      <w:pPr>
        <w:pStyle w:val="ListBullet"/>
      </w:pPr>
      <w:r>
        <w:t>Quantified HEEP comp lift per store (management has declined to give specifics) and whether the lift is a one-year level shift or persistent.</w:t>
      </w:r>
    </w:p>
    <w:p>
      <w:pPr>
        <w:pStyle w:val="ListBullet"/>
      </w:pPr>
      <w:r>
        <w:t>Split of the 2026 comp between new-product/LTO contribution (Honey Chicken, Cilantro Lime Sauce, high-protein) and core business.</w:t>
      </w:r>
    </w:p>
    <w:p>
      <w:pPr>
        <w:pStyle w:val="ListBullet"/>
      </w:pPr>
      <w:r>
        <w:t>Quantified comp drag when 2027 laps initiative-driven Q1-Q2 2026 comps.</w:t>
      </w:r>
    </w:p>
    <w:p>
      <w:pPr>
        <w:pStyle w:val="ListBullet"/>
      </w:pPr>
      <w:r>
        <w:t>Q3 2026 restaurant-level margin and adjusted G&amp;A guidance figures given on the Q2 call (referenced in the deck disclaimer but not reproduced in the corpus).</w:t>
      </w:r>
    </w:p>
    <w:p>
      <w:pPr>
        <w:pStyle w:val="ListBullet"/>
      </w:pPr>
      <w:r>
        <w:t>Weighted-average diluted share count by quarter and the 2026 buyback pace (no capital-return commentary in the transcripts). Share count is backed out from adjusted net income divided by adjusted EPS.</w:t>
      </w:r>
    </w:p>
    <w:p>
      <w:pPr>
        <w:pStyle w:val="ListBullet"/>
      </w:pPr>
      <w:r>
        <w:t>Precise current share price. We infer the low-$30s from retail commentary and the August insider sale at $35.75.</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