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portTitle"/>
      </w:pPr>
      <w:r>
        <w:t>CMG — ServiceNow is an enterprise workflow platform</w:t>
      </w:r>
    </w:p>
    <w:p>
      <w:pPr>
        <w:pStyle w:val="SmallMeta"/>
      </w:pPr>
      <w:r>
        <w:t>As of 2026-04-20  |  Schema: restaurant  |  Data: polygon (FY2025)</w:t>
      </w:r>
    </w:p>
    <w:p>
      <w:pPr>
        <w:pStyle w:val="SubHeading"/>
      </w:pPr>
      <w:r>
        <w:rPr>
          <w:color w:val="8C1D40"/>
        </w:rPr>
        <w:t>Direction: LONG | PT: $1050.00 | Current: $920.00 | Upside: +14.1%</w:t>
      </w:r>
    </w:p>
    <w:p>
      <w:pPr>
        <w:pStyle w:val="SubHeading"/>
      </w:pPr>
      <w:r>
        <w:t>Summary</w:t>
      </w:r>
    </w:p>
    <w:p>
      <w:pPr>
        <w:pStyle w:val="ListBullet"/>
      </w:pPr>
      <w:r>
        <w:t>Thesis: Street under-models Now Assist pricing uplift on existing seats.</w:t>
      </w:r>
    </w:p>
    <w:p>
      <w:pPr>
        <w:pStyle w:val="ListBullet"/>
      </w:pPr>
      <w:r>
        <w:t>Next catalyst: Q4 earnings (2 months)</w:t>
      </w:r>
    </w:p>
    <w:p>
      <w:pPr>
        <w:pStyle w:val="ListBullet"/>
      </w:pPr>
      <w:r>
        <w:t>Top risk: Margin compression from AI compute costs</w:t>
      </w:r>
    </w:p>
    <w:p>
      <w:pPr>
        <w:pStyle w:val="SectionHeading"/>
      </w:pPr>
      <w:r>
        <w:t>1. Edge</w:t>
      </w:r>
    </w:p>
    <w:p>
      <w:r>
        <w:t>Street under-models Now Assist pricing uplift on existing seats.</w:t>
      </w:r>
    </w:p>
    <w:p>
      <w:r>
        <w:t>Consensus assumes low attach; in the Q3 call CEO said 40% of top-100 customers signed Now Assist addons.</w:t>
      </w:r>
    </w:p>
    <w:p>
      <w:r>
        <w:t>The debate: AI monetization materiality in FY26</w:t>
      </w:r>
    </w:p>
    <w:p>
      <w:pPr>
        <w:pStyle w:val="SubHeading"/>
      </w:pPr>
      <w:r>
        <w:t>What consensus assumes:</w:t>
      </w:r>
    </w:p>
    <w:p>
      <w:pPr>
        <w:pStyle w:val="ListBullet"/>
      </w:pPr>
      <w:r>
        <w:t>net_retention_pct: street models 115% NRR</w:t>
      </w:r>
    </w:p>
    <w:p>
      <w:pPr>
        <w:pStyle w:val="SubHeading"/>
      </w:pPr>
      <w:r>
        <w:t>Where we differ from guidance:</w:t>
      </w:r>
    </w:p>
    <w:p>
      <w:pPr>
        <w:pStyle w:val="ListBullet"/>
      </w:pPr>
      <w:r>
        <w:t>net_retention_pct: guide says high-teens growth, we see 120% NRR</w:t>
      </w:r>
    </w:p>
    <w:p>
      <w:pPr>
        <w:pStyle w:val="SectionHeading"/>
      </w:pPr>
      <w:r>
        <w:t>2. Drivers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48"/>
        <w:gridCol w:w="2448"/>
        <w:gridCol w:w="2448"/>
        <w:gridCol w:w="2448"/>
      </w:tblGrid>
      <w:tr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Driver / Component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Value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Conf.</w:t>
            </w:r>
          </w:p>
        </w:tc>
        <w:tc>
          <w:tcPr>
            <w:tcW w:type="dxa" w:w="2448"/>
            <w:shd w:val="clear" w:color="auto" w:fill="E8EDF5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Basis</w:t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Same-Store Sales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  <w:t>+5.00%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rPr>
                <w:b/>
              </w:rPr>
            </w:r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price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+3.00%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</w:p>
        </w:tc>
      </w:tr>
      <w:tr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 xml:space="preserve">    volume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+2.00%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>
              <w:t>0.50</w:t>
            </w:r>
          </w:p>
        </w:tc>
        <w:tc>
          <w:tcPr>
            <w:tcW w:type="dxa" w:w="2448"/>
            <w:tcBorders>
              <w:top w:val="single" w:sz="4" w:color="BDC3C7"/>
              <w:bottom w:val="single" w:sz="4" w:color="BDC3C7"/>
              <w:left w:val="single" w:sz="4" w:color="BDC3C7"/>
              <w:right w:val="single" w:sz="4" w:color="BDC3C7"/>
            </w:tcBorders>
          </w:tcPr>
          <w:p>
            <w:r/>
          </w:p>
        </w:tc>
      </w:tr>
    </w:tbl>
    <w:p>
      <w:pPr>
        <w:pStyle w:val="SubHeading"/>
      </w:pPr>
      <w:r>
        <w:t>Comp decomposition check:</w:t>
      </w:r>
    </w:p>
    <w:p>
      <w:pPr>
        <w:pStyle w:val="ListBullet"/>
      </w:pPr>
      <w:r>
        <w:t>Restaurant/franchise SSS is positive but lacks comp decomposition (missing: new product vs. core, repeat vs. trial occasion, category ownership, management investment, lap risk if cycling negative). Pitch discipline: never pitch easy comps without decomposing them.</w:t>
      </w:r>
    </w:p>
    <w:p>
      <w:pPr>
        <w:pStyle w:val="PullQuote"/>
      </w:pPr>
      <w:r>
        <w:t>Counter: the analyst claims Now Assist attach of 40% sustains — but attach is concentrated in top-100; broad mid-market adoption unproven.</w:t>
      </w:r>
    </w:p>
    <w:p>
      <w:pPr>
        <w:pStyle w:val="SectionHeading"/>
      </w:pPr>
      <w:r>
        <w:t>3. Consensus Gap &amp; Valuation</w:t>
      </w:r>
    </w:p>
    <w:p>
      <w:r>
        <w:t>Our estimate: EPS $13.10 vs. consensus $12.80 ($0.30 / 2.3% above).</w:t>
      </w:r>
    </w:p>
    <w:p>
      <w:r>
        <w:t>Valuation: PT $1050.00, method: PE_DCF_blend.</w:t>
      </w:r>
    </w:p>
    <w:p>
      <w:r>
        <w:t>Priced in: not fully</w:t>
      </w:r>
    </w:p>
    <w:p>
      <w:r>
        <w:t>Edge verdict: PROBABLE_EDGE (score 0.050).</w:t>
      </w:r>
    </w:p>
    <w:p>
      <w:pPr>
        <w:pStyle w:val="SectionHeading"/>
      </w:pPr>
      <w:r>
        <w:t>4. Catalysts</w:t>
      </w:r>
    </w:p>
    <w:p>
      <w:pPr>
        <w:pStyle w:val="ListBullet"/>
      </w:pPr>
      <w:r>
        <w:t>Q4 earnings (2 months) — resolves net_retention_pct; confirms</w:t>
      </w:r>
    </w:p>
    <w:p>
      <w:pPr>
        <w:pStyle w:val="SectionHeading"/>
      </w:pPr>
      <w:r>
        <w:t>5. Risks, Blind Spots &amp; Kill Criteria</w:t>
      </w:r>
    </w:p>
    <w:p>
      <w:pPr>
        <w:pStyle w:val="SubHeading"/>
      </w:pPr>
      <w:r>
        <w:t>Blind spots (auditor-independent):</w:t>
      </w:r>
    </w:p>
    <w:p>
      <w:pPr>
        <w:pStyle w:val="ListBullet"/>
      </w:pPr>
      <w:r>
        <w:t>Margin compression from AI compute costs</w:t>
      </w:r>
    </w:p>
    <w:p>
      <w:pPr>
        <w:pStyle w:val="KillCriteria"/>
      </w:pPr>
      <w:r>
        <w:t>What would change our mind: Unable to close gap: Renewal cohort data for AI addon to validate durability.</w:t>
      </w:r>
    </w:p>
    <w:p>
      <w:pPr>
        <w:pStyle w:val="SectionHeading"/>
      </w:pPr>
      <w:r>
        <w:t>Appendix</w:t>
      </w:r>
    </w:p>
    <w:p>
      <w:pPr>
        <w:pStyle w:val="SubHeading"/>
      </w:pPr>
      <w:r>
        <w:t>Evidence gaps (research TODO):</w:t>
      </w:r>
    </w:p>
    <w:p>
      <w:pPr>
        <w:pStyle w:val="ListBullet"/>
      </w:pPr>
      <w:r>
        <w:t>Renewal cohort data for AI addon to validate durability.</w:t>
      </w:r>
    </w:p>
    <w:sectPr w:rsidR="00FC693F" w:rsidRPr="0006063C" w:rsidSect="00034616">
      <w:pgSz w:w="12240" w:h="15840"/>
      <w:pgMar w:top="1008" w:right="1224" w:bottom="1008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Title">
    <w:name w:val="ReportTitle"/>
    <w:pPr>
      <w:spacing w:before="0" w:after="40" w:line="276" w:lineRule="auto"/>
    </w:pPr>
    <w:rPr>
      <w:rFonts w:ascii="Calibri" w:hAnsi="Calibri"/>
      <w:b/>
      <w:i w:val="0"/>
      <w:color w:val="0F2A4E"/>
      <w:sz w:val="40"/>
    </w:rPr>
  </w:style>
  <w:style w:type="paragraph" w:customStyle="1" w:styleId="SectionHeading">
    <w:name w:val="SectionHeading"/>
    <w:pPr>
      <w:spacing w:before="280" w:after="80" w:line="276" w:lineRule="auto"/>
    </w:pPr>
    <w:rPr>
      <w:rFonts w:ascii="Calibri" w:hAnsi="Calibri"/>
      <w:b/>
      <w:i w:val="0"/>
      <w:color w:val="0F2A4E"/>
      <w:sz w:val="28"/>
    </w:rPr>
  </w:style>
  <w:style w:type="paragraph" w:customStyle="1" w:styleId="SubHeading">
    <w:name w:val="SubHeading"/>
    <w:pPr>
      <w:spacing w:before="120" w:after="40" w:line="276" w:lineRule="auto"/>
    </w:pPr>
    <w:rPr>
      <w:rFonts w:ascii="Calibri" w:hAnsi="Calibri"/>
      <w:b/>
      <w:i w:val="0"/>
      <w:color w:val="334B6B"/>
      <w:sz w:val="22"/>
    </w:rPr>
  </w:style>
  <w:style w:type="paragraph" w:customStyle="1" w:styleId="PullQuote">
    <w:name w:val="PullQuote"/>
    <w:pPr>
      <w:spacing w:before="80" w:after="120" w:line="276" w:lineRule="auto"/>
      <w:ind w:left="432"/>
    </w:pPr>
    <w:rPr>
      <w:rFonts w:ascii="Calibri" w:hAnsi="Calibri"/>
      <w:b w:val="0"/>
      <w:i/>
      <w:color w:val="555555"/>
      <w:sz w:val="21"/>
    </w:rPr>
  </w:style>
  <w:style w:type="paragraph" w:customStyle="1" w:styleId="KillCriteria">
    <w:name w:val="KillCriteria"/>
    <w:pPr>
      <w:spacing w:before="120" w:after="120" w:line="276" w:lineRule="auto"/>
    </w:pPr>
    <w:rPr>
      <w:rFonts w:ascii="Calibri" w:hAnsi="Calibri"/>
      <w:b/>
      <w:i w:val="0"/>
      <w:color w:val="8C1D40"/>
      <w:sz w:val="21"/>
    </w:rPr>
  </w:style>
  <w:style w:type="paragraph" w:customStyle="1" w:styleId="ReportBullet">
    <w:name w:val="ReportBullet"/>
    <w:pPr>
      <w:spacing w:before="0" w:after="60" w:line="276" w:lineRule="auto"/>
    </w:pPr>
    <w:rPr>
      <w:rFonts w:ascii="Calibri" w:hAnsi="Calibri"/>
      <w:b w:val="0"/>
      <w:i w:val="0"/>
      <w:color w:val="1A1A1A"/>
      <w:sz w:val="21"/>
    </w:rPr>
  </w:style>
  <w:style w:type="paragraph" w:customStyle="1" w:styleId="ReportCaption">
    <w:name w:val="ReportCaption"/>
    <w:pPr>
      <w:spacing w:before="40" w:after="40" w:line="276" w:lineRule="auto"/>
    </w:pPr>
    <w:rPr>
      <w:rFonts w:ascii="Calibri" w:hAnsi="Calibri"/>
      <w:b w:val="0"/>
      <w:i/>
      <w:color w:val="555555"/>
      <w:sz w:val="18"/>
    </w:rPr>
  </w:style>
  <w:style w:type="paragraph" w:customStyle="1" w:styleId="SmallMeta">
    <w:name w:val="SmallMeta"/>
    <w:pPr>
      <w:spacing w:before="0" w:after="80" w:line="276" w:lineRule="auto"/>
    </w:pPr>
    <w:rPr>
      <w:rFonts w:ascii="Calibri" w:hAnsi="Calibri"/>
      <w:b w:val="0"/>
      <w:i w:val="0"/>
      <w:color w:val="55555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