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JBFCY — JBFCY</w:t>
      </w:r>
    </w:p>
    <w:p>
      <w:pPr>
        <w:pStyle w:val="SmallMeta"/>
      </w:pPr>
      <w:r>
        <w:t>As of 2026-06-23  |  Schema: restaurant  |  Data: yfinance (FY2025)</w:t>
      </w:r>
    </w:p>
    <w:p>
      <w:pPr>
        <w:pStyle w:val="SubHeading"/>
      </w:pPr>
      <w:r>
        <w:rPr>
          <w:color w:val="8C1D40"/>
        </w:rPr>
        <w:t>Current: $8.28</w:t>
      </w:r>
    </w:p>
    <w:p>
      <w:pPr>
        <w:pStyle w:val="SubHeading"/>
      </w:pPr>
      <w:r>
        <w:t>Summary</w:t>
      </w:r>
    </w:p>
    <w:p>
      <w:pPr>
        <w:pStyle w:val="ListBullet"/>
      </w:pPr>
      <w:r>
        <w:t>Thesis: The street is likely modeling a mean-reversion in operating margins back toward FY2025's 7.1% level for FY2026, but the Q1 2026 data (-14.9% operating income YoY on +9.0% revenue growth, with gross margin compressing 200bps sequentially from Q4 2025 to Q1 2026) reveals a structural cost squeeze — leisure &amp; hospitality wages +4.0% YoY, PPI +13.1% YoY — that is accelerating, not reverting. Simultaneously, consensus likely underweights the traffic risk embedded in a consumer sentiment reading of 49.8 (near multi-decade lows) against a food-away-from-home CPI of +3.5% YoY, which historically pressures QSR traffic when menu price increases outpace wage growth for lower-income cohorts.</w:t>
      </w:r>
    </w:p>
    <w:p>
      <w:pPr>
        <w:pStyle w:val="ListBullet"/>
      </w:pPr>
      <w:r>
        <w:t>Top risk: Jollibee's international expansion is generating revenue growth (+9.0% YoY in Q1 2026) that justifies continued investment and supports a pr</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EPS Bridge fell back to mechanical model — baseline invalid: shares=0 (financials.diluted_shares_m missing); eps=0 (consensus_eps=0.0, guide_eps=None). Reported EPS uses the schema-driver model, which is less reliable than the bridge.</w:t>
            </w:r>
          </w:p>
        </w:tc>
      </w:tr>
    </w:tbl>
    <w:p>
      <w:pPr>
        <w:pStyle w:val="SectionHeading"/>
      </w:pPr>
      <w:r>
        <w:t>1. Research Synthesis</w:t>
      </w:r>
    </w:p>
    <w:p>
      <w:r>
        <w:t>Jollibee Foods Corporation reported FY2025 revenue of $4,983.7M with an 18.5% gross margin and 7.1% operating margin, generating $353.2M in operating income and $177.7M in net income — implying a net margin of approximately 3.6% and a significant gap between operating income and net income that warrants scrutiny. The $175.5M spread between operating income ($353.2M) and net income ($177.7M) — roughly 50% of operating income consumed below the operating line — is a structural feature of Jollibee's capital structure: the company carries substantial debt from its acquisition of The Coffee Bean &amp; Tea Leaf (2019, ~$350M) and Smashburger, generating meaningful interest expense. The structured financials show a 0% tax rate, which is almost certainly a data artifact from the ADR reporting structure or a deferred tax benefit year; the effective Philippine corporate tax rate is 25% (reduced from 30% under the CREATE Act), so normalized net income would be materially lower than the reported $177.7M in a tax-normalized scenario — though the 0% rate here likely reflects the ADR-level consolidation quirk rather than a genuine zero-tax year. This reconciliation matters because EPS-based valuation anchors on the reported net income figure, and any analyst using the 0% tax rate as a baseline for forward EPS is building on a structurally incorrect foundation.</w:t>
      </w:r>
    </w:p>
    <w:p>
      <w:pPr>
        <w:pStyle w:val="ListBullet"/>
      </w:pPr>
      <w:r>
        <w:rPr>
          <w:i/>
        </w:rPr>
        <w:t>→ Research confirms: Jollibee Foods acquired The Coffee Bean &amp; Tea Leaf in 2019 for $350 million on a debt-free basis. The acquisition price and year match the brief exactly. (restaurantbusinessonline.com)</w:t>
      </w:r>
    </w:p>
    <w:p>
      <w:pPr>
        <w:pStyle w:val="ListBullet"/>
      </w:pPr>
      <w:r>
        <w:rPr>
          <w:i/>
        </w:rPr>
        <w:t>→ Research [UPDATES]: FY2025 full-year operating income was P20.1 billion and net income P10.9 billion (not USD figures in claim). Sources confirm financing costs are material to the gap but do not disclose specific interest expense or USD conversion basis for the claim's figures. (manilatimes.net)</w:t>
      </w:r>
    </w:p>
    <w:p>
      <w:pPr>
        <w:pStyle w:val="ListBullet"/>
      </w:pPr>
      <w:r>
        <w:rPr>
          <w:i/>
        </w:rPr>
        <w:t>→ Research [CONTRADICTS]: Search results show JBFCY's effective tax rate is 35.03% (TTM as of 2025), not 0%. The brief's claim of a 0% rate appears unsupported by available financial data. CREATE Act deferred tax benefits are documented for 2021 but do not explain a 0% current rate. (roic.ai)</w:t>
      </w:r>
    </w:p>
    <w:p>
      <w:pPr>
        <w:pStyle w:val="ListBullet"/>
      </w:pPr>
      <w:r>
        <w:rPr>
          <w:i/>
        </w:rPr>
        <w:t>→ Research: Smashburger is retained (100% owned as of 2025), not sold or written down. JFC acquired full ownership in February 2025 for $100M (45% stake) plus $10M (final 15%), bringing total investment to $435M+ since 2015. Smashburger currently unprofitable but under turnaround via refranchising ~100 corporate stores and menu refocus; JFC's Debt-to-EBITDA increased to 2.1x post-acquisition, materially relev (investing.com)</w:t>
      </w:r>
    </w:p>
    <w:p>
      <w:r>
        <w:t>The most important data in this corpus is the quarterly trajectory table. Walking through it sequentially: Q1 2025 gross margin was 18.5%, Q2 2025 improved to 19.1% (the peak), Q3 2025 stepped back to 18.4%, Q4 2025 fell to 18.1%, and Q1 2026 collapsed to 16.5%. This is a five-quarter deteriorating trend in gross margin, with the Q1 2026 reading representing a 260bps decline from the Q2 2025 peak and a 160bps sequential decline from Q4 2025. To apply the sequential trajectory discipline correctly: Q1 2026 revenue of $1,251M vs. Q4 2025 revenue of $1,319M represents a -5.2% sequential decline. The prior-year comparable (Q1 2025 vs. Q4 2024) is not available in the corpus — the table only shows Q1 2025 as the earliest period without a Q/Q comparison — so I cannot confirm whether the -5.2% Q1 sequential is seasonal-normal or a break in pattern. This is labeled explicitly as 'pattern unverified — no prior-Q4 2024 baseline available.' However, what IS verifiable is that the Q1 2026 operating margin of 5.5% is 150bps below Q1 2025's 7.0% on a same-period YoY basis, and operating income fell -14.9% YoY despite revenue growing +9.0% YoY. This is the critical disconnect: revenue is growing, but profitability is collapsing. The TradingView headline from May 12, 2026 — 'Jollibee Shares Sink As Profit Falls 39% On Cost Surge' — confirms the mechanism is cost-driven.</w:t>
      </w:r>
    </w:p>
    <w:p>
      <w:pPr>
        <w:pStyle w:val="ListBullet"/>
      </w:pPr>
      <w:r>
        <w:rPr>
          <w:i/>
        </w:rPr>
        <w:t>→ Research confirms: TradingView headline from May 12, 2026 confirmed: Jollibee Q1 net income fell 38.8% (rounded to 39%) due to elevated commodity and supply chain costs. Official PSE disclosures and multiple news sources corroborate the cost-driven mechanism. (tradingview.com)</w:t>
      </w:r>
    </w:p>
    <w:p>
      <w:r>
        <w:t>The cost pressure story has two legs, both supported by the macro data. First, food costs: PPI (all commodities) is running at +13.1% YoY as of May 2026. For a restaurant company with ~81.5% cost of revenue as a percentage of sales (per the FY2025 structured financials), food and packaging costs are the dominant cost driver. A 13% increase in producer prices, even with a 1-2 quarter pass-through lag (analyst inference based on standard QSR commodity-to-COGS mechanics — not directly cited from corpus), implies meaningful gross margin pressure in H1 2026 that the FY2025 baseline does not capture. The Q1 2026 gross margin of 16.5% vs. the FY2025 average of 18.5% is already showing this: a 200bps compression on $1,251M of quarterly revenue equals approximately $25M of gross profit destruction in a single quarter. Annualized, that is ~$100M of gross profit at risk if the cost environment persists — against FY2025 operating income of $353.2M, this is a 28% operating income headwind from gross margin compression alone. Second, labor costs: BLS data shows leisure &amp; hospitality average hourly earnings at $23.58, up +4.0% YoY, while food-away-from-home CPI is only +3.5% YoY. This means Jollibee's labor cost inflation is running faster than its menu price inflation capacity — a classic margin squeeze dynamic. The company cannot fully offset labor cost increases with menu price increases without risking traffic, particularly given consumer sentiment at 49.8 (near multi-decade lows per the University of Michigan survey) and a personal saving rate of only 2.60% (down -52.7% YoY), indicating consumers have limited buffer to absorb price increases.</w:t>
      </w:r>
    </w:p>
    <w:p>
      <w:r>
        <w:t>The consumer demand picture adds a second layer of risk that consensus may be underweighting. University of Michigan consumer sentiment at 49.8 is a deeply distressed reading — for context, this is below the levels seen during the 2022 inflation shock and approaching the 2008-2009 financial crisis trough. Food-away-from-home CPI at +3.5% YoY is running above food-at-home CPI at +2.7% YoY, which historically (analyst inference based on standard consumer substitution economics — not directly cited from corpus) creates a substitution headwind for restaurants as consumers shift toward cooking at home. The credit card delinquency rate at 2.92% (down -4.6% YoY) is a mild positive signal — lower-income stress is not yet acute — but the personal saving rate collapse (-52.7% YoY) and consumer sentiment near historic lows suggest the demand environment for a value-oriented QSR like Jollibee is more fragile than the +9.0% Q1 2026 revenue growth implies. That revenue growth is likely price-driven (menu price increases) rather than traffic-driven, which is a lower-quality growth signal. The SSS decomposition between traffic and ticket is not available in the corpus — this is a critical evidence gap.</w:t>
      </w:r>
    </w:p>
    <w:p>
      <w:pPr>
        <w:pStyle w:val="ListBullet"/>
      </w:pPr>
      <w:r>
        <w:rPr>
          <w:i/>
        </w:rPr>
        <w:t>→ Research: Philippines domestic SSSG reached 5.0% in Q4 2025 and 5.2% for full year 2025, showing resilience but with Q1 2026 deterioration to 3.2% amid macroeconomic headwinds. Domestic segment funds expansion but faces structural pressure not fully captured in North America-focused narrative. (mb.com.ph)</w:t>
      </w:r>
    </w:p>
    <w:p>
      <w:r>
        <w:t>On the peer context: Jollibee's Q1 2026 operating margin of 5.5% compares unfavorably to the peer set. CMG (Chipotle) is guiding to FY revenue growth of +8.9% with a forward P/E of 26.9x, implying the market expects margin stability or expansion. TXRH (Texas Roadhouse) is guiding +11.2% revenue growth at 28.0x forward P/E with 24 upward estimate revisions vs. 4 downward in the last 30 days — a strong beat-and-raise signal. CAVA at 27.1% revenue growth and 146.3x P/E is a pure growth story. Jollibee, by contrast, is showing operating margin compression (-150bps YoY in Q1 2026) while growing revenue — the worst of both worlds for a multiple-expansion thesis. The peer set is being rewarded for margin stability or expansion; Jollibee is delivering margin compression. This peer divergence is a structural argument against any multiple-expansion thesis for JBFCY.</w:t>
      </w:r>
    </w:p>
    <w:p>
      <w:r>
        <w:t>The recent news provides one material data point: the Stockton, CA Jollibee opening on April 3, 2026, with drive-thru and in-store to-go service at launch but dine-in still weeks away. This is operationally relevant — a new North American unit opening without full dine-in capacity at launch suggests either construction/permitting delays or a deliberate phased opening strategy. Either way, it implies new store productivity in North America may be below the 0.70-0.85 range assumed in standard restaurant models during the ramp period. The Q1 2026 earnings call presentation (Seeking Alpha, May 17, 2026) is referenced but the content is not available in the corpus — this is a significant evidence gap, as the call likely contains management commentary on the cost environment, SSS trends by geography, and any forward-looking statements that would anchor the FY2026 estimate.</w:t>
      </w:r>
    </w:p>
    <w:p>
      <w:pPr>
        <w:pStyle w:val="ListBullet"/>
      </w:pPr>
      <w:r>
        <w:rPr>
          <w:i/>
        </w:rPr>
        <w:t>→ Research confirms: Official company press release confirms Stockton Jollibee opened April 3, 2026 with drive-thru and in-store to-go service at launch, with dine-in available in the coming weeks. (prnewswire.com)</w:t>
      </w:r>
    </w:p>
    <w:p>
      <w:r>
        <w:t>The structural tension in this thesis is the gap between the revenue growth story (+9.0% YoY in Q1 2026) and the profitability collapse (-14.9% operating income YoY, -39% net income per TradingView). The bull case — that Jollibee is investing in international expansion and the cost surge is transitory — is plausible but requires believing that (a) PPI inflation of +13.1% YoY reverses quickly, (b) labor cost inflation decelerates below menu price inflation capacity, and (c) consumer sentiment recovers enough to support traffic growth. None of these conditions are currently observable in the macro data. The bear case — that the margin compression is structural, driven by a combination of commodity cost inflation, labor cost inflation, and consumer demand fragility — is better supported by the current data. The strongest bear argument against my own thesis is that Jollibee's Philippines home market, which is not directly captured in the USD-denominated macro data above, may be performing better than the international segments, and the cost surge may be concentrated in the North American and international operations where the company is in investment mode. If Philippines SSS and margins are stable, the consolidated picture may overstate the structural deterioration. This is the key falsifier: if the Q2 2026 earnings call shows Philippines segment margins stable or improving while international margins compress, the thesis becomes a 'international investment drag' story rather than a 'structural margin collapse' story — a meaningfully different investment case.</w:t>
      </w:r>
    </w:p>
    <w:p>
      <w:r>
        <w:t>The mispricing mechanism is primarily mechanical/behavioral: JBFCY is a thinly-traded OTC ADR of a Philippine-listed company, with limited sell-side coverage in English-language markets. The consensus estimates available are sparse (no formal guidance, no EPS consensus in the structured data), and the quarterly financial data is reported with a lag. Analysts covering the name are likely anchoring to the FY2025 7.1% operating margin as a baseline and applying a modest recovery assumption for FY2026, without fully stress-testing the Q1 2026 data point against the macro cost environment. The credit market is in risk-on mode (HY net buying, IG net buying per FINRA data), which creates a permissive environment for growth-story multiples — but this macro tailwind does not offset company-specific margin compression. The dated catalyst for testing this thesis is the Q2 2026 earnings release, expected approximately August 2026, which will show whether the Q1 2026 gross margin of 16.5% was a trough or the beginning of a sustained compression trend.</w:t>
      </w:r>
    </w:p>
    <w:p>
      <w:pPr>
        <w:pStyle w:val="ListBullet"/>
      </w:pPr>
      <w:r>
        <w:rPr>
          <w:i/>
        </w:rPr>
        <w:t>→ Research: Search confirms institutional ownership data exists: 44 institutional owners hold 30.7M shares in JBFCF (OTC common), with top 25 shareholders owning 67.66% of company. Largest holders are diversified index/emerging market funds (Vanguard, T. Rowe Price, Goldman Sachs). No recent large-holder exits detected in 2025 filings. (fintel.io)</w:t>
      </w:r>
    </w:p>
    <w:p>
      <w:pPr>
        <w:pStyle w:val="PullQuote"/>
      </w:pPr>
      <w:r>
        <w:t>No structured edge claims survived validation (3 candidate(s) rejected — see Appendix).</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Same-Store Sales Growth</w:t>
            </w:r>
          </w:p>
        </w:tc>
        <w:tc>
          <w:tcPr>
            <w:tcW w:type="dxa" w:w="2448"/>
            <w:tcBorders>
              <w:top w:val="single" w:sz="4" w:color="BDC3C7"/>
              <w:bottom w:val="single" w:sz="4" w:color="BDC3C7"/>
              <w:left w:val="single" w:sz="4" w:color="BDC3C7"/>
              <w:right w:val="single" w:sz="4" w:color="BDC3C7"/>
            </w:tcBorders>
          </w:tcPr>
          <w:p>
            <w:r>
              <w:rPr>
                <w:b/>
              </w:rPr>
              <w:t>+0.70%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ticket_growth</w:t>
            </w:r>
          </w:p>
        </w:tc>
        <w:tc>
          <w:tcPr>
            <w:tcW w:type="dxa" w:w="2448"/>
            <w:tcBorders>
              <w:top w:val="single" w:sz="4" w:color="BDC3C7"/>
              <w:bottom w:val="single" w:sz="4" w:color="BDC3C7"/>
              <w:left w:val="single" w:sz="4" w:color="BDC3C7"/>
              <w:right w:val="single" w:sz="4" w:color="BDC3C7"/>
            </w:tcBorders>
          </w:tcPr>
          <w:p>
            <w:r>
              <w:t>+3.50%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Food-away-from-home CPI is running at +3.5% YoY as of May 2026 per BLS data, providing a ceiling for menu price increases without traffic destruction. Jollibee's value-oriented positioning (relative to CMG or TXRH) gives</w:t>
            </w:r>
          </w:p>
        </w:tc>
      </w:tr>
      <w:tr>
        <w:tc>
          <w:tcPr>
            <w:tcW w:type="dxa" w:w="2448"/>
            <w:tcBorders>
              <w:top w:val="single" w:sz="4" w:color="BDC3C7"/>
              <w:bottom w:val="single" w:sz="4" w:color="BDC3C7"/>
              <w:left w:val="single" w:sz="4" w:color="BDC3C7"/>
              <w:right w:val="single" w:sz="4" w:color="BDC3C7"/>
            </w:tcBorders>
          </w:tcPr>
          <w:p>
            <w:r>
              <w:t xml:space="preserve">    traffic_growth</w:t>
            </w:r>
          </w:p>
        </w:tc>
        <w:tc>
          <w:tcPr>
            <w:tcW w:type="dxa" w:w="2448"/>
            <w:tcBorders>
              <w:top w:val="single" w:sz="4" w:color="BDC3C7"/>
              <w:bottom w:val="single" w:sz="4" w:color="BDC3C7"/>
              <w:left w:val="single" w:sz="4" w:color="BDC3C7"/>
              <w:right w:val="single" w:sz="4" w:color="BDC3C7"/>
            </w:tcBorders>
          </w:tcPr>
          <w:p>
            <w:r>
              <w:t>-2.80%</w:t>
            </w:r>
          </w:p>
        </w:tc>
        <w:tc>
          <w:tcPr>
            <w:tcW w:type="dxa" w:w="2448"/>
            <w:tcBorders>
              <w:top w:val="single" w:sz="4" w:color="BDC3C7"/>
              <w:bottom w:val="single" w:sz="4" w:color="BDC3C7"/>
              <w:left w:val="single" w:sz="4" w:color="BDC3C7"/>
              <w:right w:val="single" w:sz="4" w:color="BDC3C7"/>
            </w:tcBorders>
          </w:tcPr>
          <w:p>
            <w:r>
              <w:t>0.40</w:t>
            </w:r>
          </w:p>
        </w:tc>
        <w:tc>
          <w:tcPr>
            <w:tcW w:type="dxa" w:w="2448"/>
            <w:tcBorders>
              <w:top w:val="single" w:sz="4" w:color="BDC3C7"/>
              <w:bottom w:val="single" w:sz="4" w:color="BDC3C7"/>
              <w:left w:val="single" w:sz="4" w:color="BDC3C7"/>
              <w:right w:val="single" w:sz="4" w:color="BDC3C7"/>
            </w:tcBorders>
          </w:tcPr>
          <w:p>
            <w:r>
              <w:t>Consumer sentiment at 49.8 (University of Michigan, April 2026, down -4.6% YoY) is a leading indicator for discretionary restaurant traffic with approximately a one-quarter lag (analyst inference based on standard consum</w:t>
            </w:r>
          </w:p>
        </w:tc>
      </w:tr>
      <w:tr>
        <w:tc>
          <w:tcPr>
            <w:tcW w:type="dxa" w:w="2448"/>
            <w:tcBorders>
              <w:top w:val="single" w:sz="4" w:color="BDC3C7"/>
              <w:bottom w:val="single" w:sz="4" w:color="BDC3C7"/>
              <w:left w:val="single" w:sz="4" w:color="BDC3C7"/>
              <w:right w:val="single" w:sz="4" w:color="BDC3C7"/>
            </w:tcBorders>
          </w:tcPr>
          <w:p>
            <w:r>
              <w:rPr>
                <w:b/>
              </w:rPr>
              <w:t>New Restaurant Openings</w:t>
            </w:r>
          </w:p>
        </w:tc>
        <w:tc>
          <w:tcPr>
            <w:tcW w:type="dxa" w:w="2448"/>
            <w:tcBorders>
              <w:top w:val="single" w:sz="4" w:color="BDC3C7"/>
              <w:bottom w:val="single" w:sz="4" w:color="BDC3C7"/>
              <w:left w:val="single" w:sz="4" w:color="BDC3C7"/>
              <w:right w:val="single" w:sz="4" w:color="BDC3C7"/>
            </w:tcBorders>
          </w:tcPr>
          <w:p>
            <w:r>
              <w:rPr>
                <w:b/>
              </w:rPr>
              <w:t>300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net_new_stores</w:t>
            </w:r>
          </w:p>
        </w:tc>
        <w:tc>
          <w:tcPr>
            <w:tcW w:type="dxa" w:w="2448"/>
            <w:tcBorders>
              <w:top w:val="single" w:sz="4" w:color="BDC3C7"/>
              <w:bottom w:val="single" w:sz="4" w:color="BDC3C7"/>
              <w:left w:val="single" w:sz="4" w:color="BDC3C7"/>
              <w:right w:val="single" w:sz="4" w:color="BDC3C7"/>
            </w:tcBorders>
          </w:tcPr>
          <w:p>
            <w:r>
              <w:t>300</w:t>
            </w:r>
          </w:p>
        </w:tc>
        <w:tc>
          <w:tcPr>
            <w:tcW w:type="dxa" w:w="2448"/>
            <w:tcBorders>
              <w:top w:val="single" w:sz="4" w:color="BDC3C7"/>
              <w:bottom w:val="single" w:sz="4" w:color="BDC3C7"/>
              <w:left w:val="single" w:sz="4" w:color="BDC3C7"/>
              <w:right w:val="single" w:sz="4" w:color="BDC3C7"/>
            </w:tcBorders>
          </w:tcPr>
          <w:p>
            <w:r>
              <w:t>0.40</w:t>
            </w:r>
          </w:p>
        </w:tc>
        <w:tc>
          <w:tcPr>
            <w:tcW w:type="dxa" w:w="2448"/>
            <w:tcBorders>
              <w:top w:val="single" w:sz="4" w:color="BDC3C7"/>
              <w:bottom w:val="single" w:sz="4" w:color="BDC3C7"/>
              <w:left w:val="single" w:sz="4" w:color="BDC3C7"/>
              <w:right w:val="single" w:sz="4" w:color="BDC3C7"/>
            </w:tcBorders>
          </w:tcPr>
          <w:p>
            <w:r>
              <w:t>Jollibee has historically opened 400-600 net new stores annually across its global system. The Stockton, CA opening on April 3, 2026 (per Benzinga and Stock Titan news) confirms continued North American expansion, though</w:t>
            </w:r>
          </w:p>
        </w:tc>
      </w:tr>
      <w:tr>
        <w:tc>
          <w:tcPr>
            <w:tcW w:type="dxa" w:w="2448"/>
            <w:tcBorders>
              <w:top w:val="single" w:sz="4" w:color="BDC3C7"/>
              <w:bottom w:val="single" w:sz="4" w:color="BDC3C7"/>
              <w:left w:val="single" w:sz="4" w:color="BDC3C7"/>
              <w:right w:val="single" w:sz="4" w:color="BDC3C7"/>
            </w:tcBorders>
          </w:tcPr>
          <w:p>
            <w:r>
              <w:rPr>
                <w:b/>
              </w:rPr>
              <w:t>Food Cost Delta</w:t>
            </w:r>
          </w:p>
        </w:tc>
        <w:tc>
          <w:tcPr>
            <w:tcW w:type="dxa" w:w="2448"/>
            <w:tcBorders>
              <w:top w:val="single" w:sz="4" w:color="BDC3C7"/>
              <w:bottom w:val="single" w:sz="4" w:color="BDC3C7"/>
              <w:left w:val="single" w:sz="4" w:color="BDC3C7"/>
              <w:right w:val="single" w:sz="4" w:color="BDC3C7"/>
            </w:tcBorders>
          </w:tcPr>
          <w:p>
            <w:r>
              <w:rPr>
                <w:b/>
              </w:rPr>
              <w:t>+112bps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commodity_cost_inflation</w:t>
            </w:r>
          </w:p>
        </w:tc>
        <w:tc>
          <w:tcPr>
            <w:tcW w:type="dxa" w:w="2448"/>
            <w:tcBorders>
              <w:top w:val="single" w:sz="4" w:color="BDC3C7"/>
              <w:bottom w:val="single" w:sz="4" w:color="BDC3C7"/>
              <w:left w:val="single" w:sz="4" w:color="BDC3C7"/>
              <w:right w:val="single" w:sz="4" w:color="BDC3C7"/>
            </w:tcBorders>
          </w:tcPr>
          <w:p>
            <w:r>
              <w:t>+112bps</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 xml:space="preserve">PPI (all commodities) is running at +13.1% YoY as of May 2026 per FRED data. For a restaurant company with ~81.5% cost of revenue as a percentage of sales (FY2025 structured financials), food and packaging costs are the </w:t>
            </w:r>
          </w:p>
        </w:tc>
      </w:tr>
      <w:tr>
        <w:tc>
          <w:tcPr>
            <w:tcW w:type="dxa" w:w="2448"/>
            <w:tcBorders>
              <w:top w:val="single" w:sz="4" w:color="BDC3C7"/>
              <w:bottom w:val="single" w:sz="4" w:color="BDC3C7"/>
              <w:left w:val="single" w:sz="4" w:color="BDC3C7"/>
              <w:right w:val="single" w:sz="4" w:color="BDC3C7"/>
            </w:tcBorders>
          </w:tcPr>
          <w:p>
            <w:r>
              <w:rPr>
                <w:b/>
              </w:rPr>
              <w:t>Labor Cost Delta</w:t>
            </w:r>
          </w:p>
        </w:tc>
        <w:tc>
          <w:tcPr>
            <w:tcW w:type="dxa" w:w="2448"/>
            <w:tcBorders>
              <w:top w:val="single" w:sz="4" w:color="BDC3C7"/>
              <w:bottom w:val="single" w:sz="4" w:color="BDC3C7"/>
              <w:left w:val="single" w:sz="4" w:color="BDC3C7"/>
              <w:right w:val="single" w:sz="4" w:color="BDC3C7"/>
            </w:tcBorders>
          </w:tcPr>
          <w:p>
            <w:r>
              <w:rPr>
                <w:b/>
              </w:rPr>
              <w:t>+50bps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wage_inflation_vs_pricing</w:t>
            </w:r>
          </w:p>
        </w:tc>
        <w:tc>
          <w:tcPr>
            <w:tcW w:type="dxa" w:w="2448"/>
            <w:tcBorders>
              <w:top w:val="single" w:sz="4" w:color="BDC3C7"/>
              <w:bottom w:val="single" w:sz="4" w:color="BDC3C7"/>
              <w:left w:val="single" w:sz="4" w:color="BDC3C7"/>
              <w:right w:val="single" w:sz="4" w:color="BDC3C7"/>
            </w:tcBorders>
          </w:tcPr>
          <w:p>
            <w:r>
              <w:t>+50bps</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BLS data shows leisure &amp; hospitality average hourly earnings at $23.58, up +4.0% YoY as of May 2026. Food-away-from-home CPI is +3.5% YoY — meaning labor cost inflation is running 50bps faster than the company's menu pri</w:t>
            </w:r>
          </w:p>
        </w:tc>
      </w:tr>
      <w:tr>
        <w:tc>
          <w:tcPr>
            <w:tcW w:type="dxa" w:w="2448"/>
            <w:tcBorders>
              <w:top w:val="single" w:sz="4" w:color="BDC3C7"/>
              <w:bottom w:val="single" w:sz="4" w:color="BDC3C7"/>
              <w:left w:val="single" w:sz="4" w:color="BDC3C7"/>
              <w:right w:val="single" w:sz="4" w:color="BDC3C7"/>
            </w:tcBorders>
          </w:tcPr>
          <w:p>
            <w:r>
              <w:rPr>
                <w:b/>
              </w:rPr>
              <w:t>Other Operating Cost Delta</w:t>
            </w:r>
          </w:p>
        </w:tc>
        <w:tc>
          <w:tcPr>
            <w:tcW w:type="dxa" w:w="2448"/>
            <w:tcBorders>
              <w:top w:val="single" w:sz="4" w:color="BDC3C7"/>
              <w:bottom w:val="single" w:sz="4" w:color="BDC3C7"/>
              <w:left w:val="single" w:sz="4" w:color="BDC3C7"/>
              <w:right w:val="single" w:sz="4" w:color="BDC3C7"/>
            </w:tcBorders>
          </w:tcPr>
          <w:p>
            <w:r>
              <w:rPr>
                <w:b/>
              </w:rPr>
              <w:t>+30bps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occupancy_and_utilities</w:t>
            </w:r>
          </w:p>
        </w:tc>
        <w:tc>
          <w:tcPr>
            <w:tcW w:type="dxa" w:w="2448"/>
            <w:tcBorders>
              <w:top w:val="single" w:sz="4" w:color="BDC3C7"/>
              <w:bottom w:val="single" w:sz="4" w:color="BDC3C7"/>
              <w:left w:val="single" w:sz="4" w:color="BDC3C7"/>
              <w:right w:val="single" w:sz="4" w:color="BDC3C7"/>
            </w:tcBorders>
          </w:tcPr>
          <w:p>
            <w:r>
              <w:t>+30bps</w:t>
            </w:r>
          </w:p>
        </w:tc>
        <w:tc>
          <w:tcPr>
            <w:tcW w:type="dxa" w:w="2448"/>
            <w:tcBorders>
              <w:top w:val="single" w:sz="4" w:color="BDC3C7"/>
              <w:bottom w:val="single" w:sz="4" w:color="BDC3C7"/>
              <w:left w:val="single" w:sz="4" w:color="BDC3C7"/>
              <w:right w:val="single" w:sz="4" w:color="BDC3C7"/>
            </w:tcBorders>
          </w:tcPr>
          <w:p>
            <w:r>
              <w:t>0.35</w:t>
            </w:r>
          </w:p>
        </w:tc>
        <w:tc>
          <w:tcPr>
            <w:tcW w:type="dxa" w:w="2448"/>
            <w:tcBorders>
              <w:top w:val="single" w:sz="4" w:color="BDC3C7"/>
              <w:bottom w:val="single" w:sz="4" w:color="BDC3C7"/>
              <w:left w:val="single" w:sz="4" w:color="BDC3C7"/>
              <w:right w:val="single" w:sz="4" w:color="BDC3C7"/>
            </w:tcBorders>
          </w:tcPr>
          <w:p>
            <w:r>
              <w:t>Core CPI ex food and energy at +2.8% YoY (FRED, May 2026) drives occupancy and utility cost inflation. New store openings in high-cost markets (North America) carry above-average occupancy costs. We model a modest +30bps</w:t>
            </w:r>
          </w:p>
        </w:tc>
      </w:tr>
    </w:tbl>
    <w:p>
      <w:pPr>
        <w:pStyle w:val="SubHeading"/>
      </w:pPr>
      <w:r>
        <w:t>Bear revisions:</w:t>
      </w:r>
    </w:p>
    <w:p>
      <w:pPr>
        <w:pStyle w:val="ListBullet"/>
      </w:pPr>
      <w:r>
        <w:t>Same-Store Sales Growth.traffic_growth: -2.0 → -4.0 — In a bear scenario, consumer sentiment deterioration accelerates (sentiment already at 49.8, near multi-decade lows) and the food-at-home vs. food-away-from-home substitution effect intensifies as consumers face continued menu price increases. A -4.0% traffic decline (vs. our base case -2.0%) would be consistent with the 2022-2023 QSR traffic headwind experienced by value-oriented chains during peak inflation — analyst inference based on historical QSR traffic patterns during high-inflation periods, not directly cited from corpus.</w:t>
      </w:r>
    </w:p>
    <w:p>
      <w:pPr>
        <w:pStyle w:val="ListBullet"/>
      </w:pPr>
      <w:r>
        <w:t>Food Cost Delta.commodity_cost_inflation: 80 → 130 — In a bear scenario, PPI inflation at +13.1% YoY does not moderate in H2 2026 (e.g., if tariff escalation or supply chain disruptions persist), and the full commodity cost inflation flows through to COGS without offset from menu price increases. The Q1 2026 gross margin compression of 160bps sequentially suggests the bear case is already partially realized; 130bps of food cost headwind for the full year would imply gross margins remaining near the Q1 2026 trough of 16.5% rather than recovering.</w:t>
      </w:r>
    </w:p>
    <w:p>
      <w:pPr>
        <w:pStyle w:val="ListBullet"/>
      </w:pPr>
      <w:r>
        <w:t>New Restaurant Openings.net_new_stores: 450 → 300 — In a bear scenario, the 39% profit decline forces capital allocation discipline and Jollibee slows international expansion to preserve cash. The company's debt load from the CBTL and Smashburger acquisitions (generating the ~$175M gap between operating income and net income) limits financial flexibility. A slowdown to 300 net new stores (vs. our base 450) would reduce revenue contribution from new units and signal a strategic pivot away from the growth narrative that underpins the current multiple.</w:t>
      </w:r>
    </w:p>
    <w:p>
      <w:pPr>
        <w:pStyle w:val="ListBullet"/>
      </w:pPr>
      <w:r>
        <w:rPr>
          <w:i/>
        </w:rPr>
        <w:t>→ Research [UPDATES]: JFC opened 1,126 stores in 2025 (highest annual level in company history), not 450 net new stores. The 450 figure appears to reference a different metric or period; actual gross store openings significantly exceed the claimed net figure. (manginasal.ph)</w:t>
      </w:r>
    </w:p>
    <w:p>
      <w:pPr>
        <w:pStyle w:val="SectionHeading"/>
      </w:pPr>
      <w:r>
        <w:t>3. Consensus Gap &amp; Valuation</w:t>
      </w:r>
    </w:p>
    <w:p>
      <w:r>
        <w:t>Our EPS: $0.00  =  baseline $0.00  +  Σ claim impacts $+0.00</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Prior-year revenue, flat (consensus revenue mean and guidance growth both missing);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$0.00</w:t>
            </w:r>
          </w:p>
        </w:tc>
      </w:tr>
    </w:tbl>
    <w:p>
      <w:pPr>
        <w:pStyle w:val="PullQuote"/>
      </w:pPr>
      <w:r>
        <w:t xml:space="preserve">  ⚠ Baseline P&amp;L could not be constructed (missing consensus or shares); EPS build degraded to baseline EPS only.</w:t>
      </w:r>
    </w:p>
    <w:p>
      <w:r>
        <w:t>No consensus EPS to compare against</w:t>
      </w:r>
    </w:p>
    <w:p>
      <w:r>
        <w:t>Priced in: not fully</w:t>
      </w:r>
    </w:p>
    <w:p>
      <w:r>
        <w:t>Edge verdict: NO_CONSENSUS (score 0.000).</w:t>
      </w:r>
    </w:p>
    <w:p>
      <w:pPr>
        <w:pStyle w:val="SectionHeading"/>
      </w:pPr>
      <w:r>
        <w:t>4. Catalysts</w:t>
      </w:r>
    </w:p>
    <w:p>
      <w:r>
        <w:t>No dated catalysts identified in filings or available market data.</w:t>
      </w:r>
    </w:p>
    <w:p>
      <w:pPr>
        <w:pStyle w:val="SectionHeading"/>
      </w:pPr>
      <w:r>
        <w:t>5. Risks, Blind Spots &amp; Kill Criteria</w:t>
      </w:r>
    </w:p>
    <w:p>
      <w:pPr>
        <w:pStyle w:val="SubHeading"/>
      </w:pPr>
      <w:r>
        <w:t>Top risks:</w:t>
      </w:r>
    </w:p>
    <w:p>
      <w:pPr>
        <w:pStyle w:val="ListBullet"/>
      </w:pPr>
      <w:r>
        <w:t>Jollibee's international expansion is generating revenue growth (+9.0% YoY in Q1 2026) that justifies continued investment and supports a premium growth multiple — counter: Q1 2026 operating income fell -14.9% YoY despite +9.0% revenue growth, and net income fell approximately 39% per TradingView (May 12, 2026). Revenue growth is being generated at the cost of profitability destruction — the operating leverage is running in reverse. The Stockton opening with delayed dine-in capability suggests new unit productivity is below model assumptions. [serious]</w:t>
      </w:r>
    </w:p>
    <w:p>
      <w:pPr>
        <w:pStyle w:val="ListBullet"/>
      </w:pPr>
      <w:r>
        <w:t>The Q1 2026 margin compression is transitory and margins will mean-revert to FY2025's 7.1% operating margin level — counter: The five-quarter gross margin trend is monotonically deteriorating: Q2 2025 (19.1%) → Q3 2025 (18.4%) → Q4 2025 (18.1%) → Q1 2026 (16.5%). PPI at +13.1% YoY and L&amp;H wages at +4.0% YoY (both above food-away-from-home CPI of +3.5%) are structural cost pressures, not one-quarter anomalies. A mean-reversion thesis requires a specific mechanism for cost relief that is not visible in the current macro data. [serious]</w:t>
      </w:r>
    </w:p>
    <w:p>
      <w:pPr>
        <w:pStyle w:val="ListBullet2"/>
      </w:pPr>
      <w:r>
        <w:rPr>
          <w:i/>
        </w:rPr>
        <w:t>→ Research: Search results confirm FX is a material driver for Jollibee's reported earnings. Q3 2025 earnings call noted FX tailwind in non-recurring items, and peso weakness was identified as an external driver that could boost 2025 financial performance. However, no source isolates PHP/USD depreciation impact specifically on Philippines segment margins separately from food/labor cost pressure. (seekingalpha.com)</w:t>
      </w:r>
    </w:p>
    <w:p>
      <w:pPr>
        <w:pStyle w:val="ListBullet"/>
      </w:pPr>
      <w:r>
        <w:t>Consumer demand for Jollibee's value-oriented QSR offering is resilient in a low-sentiment environment — counter: University of Michigan consumer sentiment at 49.8 (April 2026, down -4.6% YoY) is near multi-decade lows. Personal saving rate at 2.60% (down -52.7% YoY) indicates consumers have exhausted savings buffers. Food-at-home CPI (+2.7% YoY) is below food-away-from-home CPI (+3.5% YoY), creating a substitution incentive toward home cooking. These macro signals are inconsistent with a traffic-growth assumption for any restaurant concept. [moderate]</w:t>
      </w:r>
    </w:p>
    <w:p>
      <w:pPr>
        <w:pStyle w:val="KillCriteria"/>
      </w:pPr>
      <w:r>
        <w:t>What would change our mind: Unable to close gap: SSS decomposition by geography (Philippines vs. North America vs. international) — critical for understanding whether the margin compression is concentrated in the high-cost international segment or is systemic across the business</w:t>
      </w:r>
    </w:p>
    <w:p>
      <w:pPr>
        <w:pStyle w:val="SectionHeading"/>
      </w:pPr>
      <w:r>
        <w:t>Appendix</w:t>
      </w:r>
    </w:p>
    <w:p>
      <w:pPr>
        <w:pStyle w:val="SubHeading"/>
      </w:pPr>
      <w:r>
        <w:t>Evidence gaps (research TODO):</w:t>
      </w:r>
    </w:p>
    <w:p>
      <w:pPr>
        <w:pStyle w:val="ListBullet"/>
      </w:pPr>
      <w:r>
        <w:t>SSS decomposition by geography (Philippines vs. North America vs. international) — critical for understanding whether the margin compression is concentrated in the high-cost international segment or is systemic across the business</w:t>
      </w:r>
    </w:p>
    <w:p>
      <w:pPr>
        <w:pStyle w:val="ListBullet"/>
      </w:pPr>
      <w:r>
        <w:t>Q1 2026 earnings call transcript content — the Seeking Alpha reference (May 17, 2026) confirms a call occurred but the content is not available; management commentary on cost outlook, SSS trends, and unit economics would materially change the confidence level on all drivers</w:t>
      </w:r>
    </w:p>
    <w:p>
      <w:pPr>
        <w:pStyle w:val="ListBullet"/>
      </w:pPr>
      <w:r>
        <w:t>Segment-level revenue and operating margin disclosure — Jollibee operates multiple brands (Jollibee, CBTL, Smashburger, Tim Ho Wan, etc.) with very different margin profiles; consolidated margins obscure the brand-level performance</w:t>
      </w:r>
    </w:p>
    <w:p>
      <w:pPr>
        <w:pStyle w:val="ListBullet"/>
      </w:pPr>
      <w:r>
        <w:t>Philippines-specific macro data — the BLS and FRED data cited above is US-centric; the Philippines home market (which likely represents 50%+ of system-wide stores) faces a different labor cost and consumer demand environment</w:t>
      </w:r>
    </w:p>
    <w:p>
      <w:pPr>
        <w:pStyle w:val="ListBullet"/>
      </w:pPr>
      <w:r>
        <w:t>Interest expense and debt schedule — the $175.5M gap between operating income and net income implies substantial below-the-line charges; the debt structure from CBTL and Smashburger acquisitions is not detailed in the available corpus</w:t>
      </w:r>
    </w:p>
    <w:p>
      <w:pPr>
        <w:pStyle w:val="ListBullet"/>
      </w:pPr>
      <w:r>
        <w:t>Effective tax rate normalization — the 0% tax rate in the structured financials is almost certainly a data artifact; the actual effective tax rate (likely 20-25% given Philippine CREATE Act) would materially reduce normalized net income and EPS</w:t>
      </w:r>
    </w:p>
    <w:p>
      <w:pPr>
        <w:pStyle w:val="ListBullet"/>
      </w:pPr>
      <w:r>
        <w:t>New store AUV and restaurant-level margin data for North American units — the Stockton opening with delayed dine-in suggests below-model productivity, but no AUV or restaurant-level margin data is available</w:t>
      </w:r>
    </w:p>
    <w:p>
      <w:pPr>
        <w:pStyle w:val="ListBullet"/>
      </w:pPr>
      <w:r>
        <w:t>Franchise vs. company-operated revenue split — the schema assumes predominantly company-operated, but the actual franchise revenue contribution affects the margin structure and the appropriate economic model</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