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JBFCY — JBFCY</w:t>
      </w:r>
    </w:p>
    <w:p>
      <w:pPr>
        <w:pStyle w:val="SmallMeta"/>
      </w:pPr>
      <w:r>
        <w:t>As of 2026-06-23  |  Schema: restaurant  |  Data: yfinance (FY2025)</w:t>
      </w:r>
    </w:p>
    <w:p>
      <w:pPr>
        <w:pStyle w:val="SubHeading"/>
      </w:pPr>
      <w:r>
        <w:rPr>
          <w:color w:val="8C1D40"/>
        </w:rPr>
        <w:t>Direction: SHORT | Current: $8.28</w:t>
      </w:r>
    </w:p>
    <w:p>
      <w:pPr>
        <w:pStyle w:val="SubHeading"/>
      </w:pPr>
      <w:r>
        <w:t>Summary</w:t>
      </w:r>
    </w:p>
    <w:p>
      <w:pPr>
        <w:pStyle w:val="ListBullet"/>
      </w:pPr>
      <w:r>
        <w:t>Thesis: The street is likely anchoring on management's stated FY2026 operating income growth guidance of +15% to +20% as a credible recovery path, but three compounding factors — a Q1 operating income miss of -18.2% that requires ~35pp of recovery in Q2-Q4, April 2026 Philippines CPI already printing 7.2% (above the internal 6.4% full-year forecast), and a pricing action that is 'moderate single digit' against 13.1% cost-of-inventory inflation — make the guidance range mathematically implausible without a guide cut at Q2. Simultaneously, the market is underpricing the structural earnings accretion from the Shabu All Day acquisition (+8% EBIT to the group per management) and Compose Coffee's 30+ monthly store opening run rate, which together represent a durable international earnings engine the street is likely modeling conservatively given the noise around the Philippines margin story.</w:t>
      </w:r>
    </w:p>
    <w:p>
      <w:pPr>
        <w:pStyle w:val="ListBullet"/>
      </w:pPr>
      <w:r>
        <w:t>Top risk: Management's H2 2026 margin recovery narrative: pricing actions implemented in April will restore margins and deliver 'improved margins + op</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EPS Bridge fell back to mechanical model — baseline invalid: shares=0 (financials.diluted_shares_m missing); eps=0 (consensus_eps=0.0, guide_eps=None). Reported EPS uses the schema-driver model, which is less reliable than the bridge.</w:t>
            </w:r>
          </w:p>
        </w:tc>
      </w:tr>
    </w:tbl>
    <w:p>
      <w:pPr>
        <w:pStyle w:val="SectionHeading"/>
      </w:pPr>
      <w:r>
        <w:t>1. Research Synthesis</w:t>
      </w:r>
    </w:p>
    <w:p>
      <w:r>
        <w:t>Jollibee's Q1 2026 earnings deck presents a company with a genuine topline story — systemwide sales grew +10.3% YoY to Php 113.9Bn, squarely within the FY2026 guidance range of 8-12% — but the operating income line is where the thesis breaks down in ways the street may not have fully internalized. Q1 2026 operating income declined -14.9% YoY against a FY2026 guidance of +15% to +20%. To understand whether this is recoverable, the math must be done explicitly. The four quarters of FY2025 in the historical table sum to approximately $345M (Q1 $81M + Q2 $99M + Q3 $84M + Q4 $81M); the FY2026 guidance midpoint of +17.5% on that base implies ~$405M. Q1 2026 operating income was $69M (from the quarterly historical table), down from $81M in Q1 2025 — a $12M shortfall. For the full year to hit ~$405M, Q2-Q4 2026 must collectively deliver ~$336M versus ~$264M in Q2-Q4 2025 (implied: $345M - $81M = $264M), requiring approximately +27% growth in the remaining three quarters. That is a steep ask in an environment where April 2026 Philippines CPI printed 7.2% — a 'sharp upside break' per the deck (p.25) — against an internal full-year forecast of 6.4% that was itself already revised up from 6.1%. The oil pass-through sensitivity disclosed on p.25 (+0.37 ppt inflation per $10/bbl increase in Dubai crude) suggests the US-Iran war shock is not a one-month phenomenon. This is the core of the first edge claim: the FY2026 operating income guidance of +15% to +20% is mathematically implausible given Q1 actuals and the April inflation data, and a guide cut at Q2 is the base case, not a tail risk.</w:t>
      </w:r>
    </w:p>
    <w:p>
      <w:pPr>
        <w:pStyle w:val="ListBullet"/>
      </w:pPr>
      <w:r>
        <w:rPr>
          <w:i/>
        </w:rPr>
        <w:t>→ Research confirms: Q1 2026 systemwide sales grew 10.3% YoY to Php 113.9 billion, confirmed across multiple official sources. Growth rate aligns with FY2026 guidance range of 8-12%. (jollibeegroup.com)</w:t>
      </w:r>
    </w:p>
    <w:p>
      <w:pPr>
        <w:pStyle w:val="ListBullet"/>
      </w:pPr>
      <w:r>
        <w:rPr>
          <w:i/>
        </w:rPr>
        <w:t>→ Research confirms: April 2026 Philippines CPI printed 7.2% year-on-year, confirmed by Philippine Statistics Authority. This exceeded BSP's forecast range of 5.6%–6.4%, representing a sharp upside break. (gov.ph)</w:t>
      </w:r>
    </w:p>
    <w:p>
      <w:r>
        <w:t>The sequential trajectory discipline is critical here. Q1 2026 revenue of $1,251M versus Q4 2025's $1,319M represents a -5.2% sequential decline. To assess whether this is seasonal-normal or a real break, the prior-year comparison is needed: Q1 2025 revenue of $1,148M versus Q4 2024 — but Q4 2024 is not available in the five-quarter historical table provided. The corpus does not supply Q4 2024 actuals, so the sequential pattern cannot be fully verified. What can be observed is that Q1 2026's gross margin of 16.5% is the lowest in the five-quarter series (Q1 2025: 18.5%, Q2 2025: 19.1%, Q3 2025: 18.4%, Q4 2025: 18.1%), representing a 200bp compression from Q1 2025 and a 160bp compression from Q4 2025. This is not seasonal noise — it is a structural deterioration in the cost structure. The deck attributes this to 'Cost of Inventories +13.1%' (p.4), which maps directly to the PPI data: US PPI (all commodities) was +13.1% YoY as of May 2026 (FRED data), confirming the input cost shock is real and broad-based, not a JFC-specific procurement failure.</w:t>
      </w:r>
    </w:p>
    <w:p>
      <w:pPr>
        <w:pStyle w:val="ListBullet"/>
      </w:pPr>
      <w:r>
        <w:rPr>
          <w:i/>
        </w:rPr>
        <w:t>→ Research confirms: FRED data confirms US PPI (all commodities) was +13.1% YoY in May 2026, exactly matching the brief's claim and validating the structural inflation narrative anchor. (stlouisfed.org)</w:t>
      </w:r>
    </w:p>
    <w:p>
      <w:r>
        <w:t>The margin bridge deserves explicit decomposition. Gross margin compressed from 18.5% in Q1 2025 to 16.5% in Q1 2026 — a 200bp decline on $1,251M revenue = approximately $25M of gross profit erosion. Management's response is a 'moderate single digit' price increase implemented in April 2026 (p.6, p.8, p.11). If 'moderate single digit' means ~4-5% menu price increase on a Philippines business generating roughly Php 63.2Bn in systemwide sales (p.9), the revenue uplift is approximately Php 2.5-3.2Bn annually, or ~Php 625-800M per quarter. Against a cost-of-inventory inflation of 13.1%, the pricing action covers perhaps 30-40% of the cost headwind — not a full offset. The Php 2.8Bn cost containment plan (p.30) adds another lever, but at ~Php 700M per quarter annualized, the combined pricing + cost containment is still fighting a structural inflation environment where April CPI is already 7.2% and the BSP has revised its FY2026 forecast to 6.3% from 5.1% (p.25). The H2 margin recovery narrative ('Improved margins + operating leverage at new run rate,' p.8) is asserted without quantifying the magnitude — the deck's weakest analytical moment, as the business narrative extractor correctly identifies.</w:t>
      </w:r>
    </w:p>
    <w:p>
      <w:r>
        <w:t>Management credibility on the operating income guidance is the second analytical question. The track record slide (p.29) shows Q1 2026 operating income growth of -18.2% versus a FY2026 guidance of +15% to +20% — a gap of approximately 33-38 percentage points. Management's response is to say results are 'broadly consistent with full-year guidance assumptions' while simultaneously announcing a guidance reassessment to be disclosed by Q2. These two statements are in tension: if Q1 is 'broadly consistent,' why is a reassessment needed? The more honest read is that management is buying time before a formal guide cut. The language pattern is notable: the deck uses '[IMPLEMENTED]' tags on three Q2 action items (pricing, cost containment, asset-light expansion) — a rhetorical device designed to signal control and execution discipline. But the April 2026 CPI print of 7.2% arrived after these implementations were announced, meaning the cost environment deteriorated further after the actions were taken. This is a synthesis-category edge: the multi-signal pattern (guide maintained + reassessment announced + April CPI shock post-implementation) points to a Q2 guide cut that the street may not have fully priced.</w:t>
      </w:r>
    </w:p>
    <w:p>
      <w:pPr>
        <w:pStyle w:val="ListBullet"/>
      </w:pPr>
      <w:r>
        <w:rPr>
          <w:i/>
        </w:rPr>
        <w:t>→ Research confirms: Q1 2026 operating income declined 18.2% year-over-year to ₱3.95 billion. Management formally flagged reassessment of full-year guidance, to be disclosed by Q2 2026, citing temporary cost pressures and margin recovery expected in H2. (jollibeegroup.com)</w:t>
      </w:r>
    </w:p>
    <w:p>
      <w:r>
        <w:t>The international earnings engine is where the bull case has genuine substance that the market may be underweighting. Compose Coffee's 3,015-store network is growing at 31% SWS YoY with a sub-1% closure rate (p.20) — the lowest in the industry per management — and is opening at 30+ stores per month. At ~70% of international openings from Coffee &amp; Tea (p.4), Compose Coffee is the primary growth vehicle for the international segment. Tim Ho Wan delivered c.3.6x EBITDA expansion at 22.5% topline growth (ex-China) in Q1 2026 (p.21), with EBITDA expanding from 28.4 to 101.4 (in local currency units per the deck's bar chart). The Shabu All Day acquisition adds ~170 stores and management guides +2% Revenue, +8% EBIT to the group (p.4). On FY2025 operating income of $353.1M, +8% EBIT = approximately $28M of incremental operating income — a meaningful contribution that is likely being discounted by analysts focused on the Philippines margin headline. The Jollibee International brand itself is outperforming all major QSR peers on both SWS growth (19.2% vs. McDonald's 11.0%, Yum 6.0%, RBI 6.2%) and store growth (11.9% vs. McDonald's 4.4%, Yum 4.6%, RBI 2.6%) per the peer table on p.17. This is not a marginal outperformance — it is a 2-3x peer growth rate, suggesting the international franchise is genuinely accelerating.</w:t>
      </w:r>
    </w:p>
    <w:p>
      <w:pPr>
        <w:pStyle w:val="ListBullet"/>
      </w:pPr>
      <w:r>
        <w:rPr>
          <w:i/>
        </w:rPr>
        <w:t>→ Research [UPDATES]: Jollibee Group confirmed Compose Coffee reached 3,000 stores in September 2025 (not 3,015 as stated). Q2 2025 filing shows 2,809 stores; no closure rate or 31% SWS YoY growth metric disclosed in available sources. (jollibeegroup.com)</w:t>
      </w:r>
    </w:p>
    <w:p>
      <w:pPr>
        <w:pStyle w:val="ListBullet"/>
      </w:pPr>
      <w:r>
        <w:rPr>
          <w:i/>
        </w:rPr>
        <w:t>→ Research confirms: Acquisition price of $87 million (~KRW 127 billion) is disclosed across multiple official sources. The +8% EBIT accretion claim is confirmed in earnings call and regulatory filings at a 4x EV/EBITDA multiple, supporting the earnings floor narrative. (amazonaws.com)</w:t>
      </w:r>
    </w:p>
    <w:p>
      <w:pPr>
        <w:pStyle w:val="ListBullet"/>
      </w:pPr>
      <w:r>
        <w:rPr>
          <w:i/>
        </w:rPr>
        <w:t>→ Research [UPDATES]: Jollibee's H1 2025 SWS growth confirmed at 19.2% (matching brief claim). However, peer comparisons differ materially: Q2 2025 data shows McDonald's 8.0% SWS vs. brief's 11.0%; Yum Brands 4.0% vs. brief's 6.0%; RBI 5.3% vs. brief's 6.2%. Store growth figures not independently verified in search results. (jollibeegroup.com)</w:t>
      </w:r>
    </w:p>
    <w:p>
      <w:r>
        <w:t>The peer consensus context is instructive. JBFCY's forward revenue growth of +8-12% (guided) compares to CMG at +8.9%, TXRH at +11.2%, and CAVA at +27.1% (peer consensus table). CAVA trades at 146x forward P/E, TXRH at 28x, CMG at 26.9x. JBFCY's valuation is not disclosed in the structured data, but the operating margin of 7.1% (FY2025) versus peers in the 10-15% range for comparable QSR operators suggests either a structural margin gap or a mix-effect from the company-operated restaurant weight. The asset-light pivot (700-800 new franchised stores, COO-to-FR conversions for Yonghe King and Smashburger at Php 1.3Bn investment) is a deliberate structural shift toward higher-margin franchise income — but the earnings benefit will lag the investment by 12-24 months, meaning FY2026 is a transition year where the cost of the pivot (Php 1.3Bn) hits before the margin benefit accrues. This is a duration gap the market may be pricing incorrectly in either direction.</w:t>
      </w:r>
    </w:p>
    <w:p>
      <w:pPr>
        <w:pStyle w:val="ListBullet"/>
      </w:pPr>
      <w:r>
        <w:rPr>
          <w:i/>
        </w:rPr>
        <w:t>→ Research: Search confirms PE co-investor presence: Elevation Equity Partners retains 30% in Compose Coffee (July 2024) and 30% in Shabu All Day (Feb 2026). Tan Caktiong family maintains controlling interest. Institutional ownership dominated by passive index funds (Vanguard, T. Rowe Price, Goldman Sachs). No evidence of imminent PE exit pressure or institutional crowding risk disclosed. (jollibeegroup.com)</w:t>
      </w:r>
    </w:p>
    <w:p>
      <w:pPr>
        <w:pStyle w:val="ListBullet"/>
      </w:pPr>
      <w:r>
        <w:rPr>
          <w:i/>
        </w:rPr>
        <w:t>→ Research: Search confirms Jollibee's asset-light franchise strategy is active and performing: Smashburger franchise expansion shows strong early results (Huntersville NC store opened Feb 2025 with strong performance; 10-12 new franchises planned 2026); 77% of 754 stores opened through Sept 2025 were franchised. However, no specific PHP 1.3Bn conversion cost figure or prior conversion failure track record fo (jollibeegroup.com)</w:t>
      </w:r>
    </w:p>
    <w:p>
      <w:r>
        <w:t>The macro context adds a layer of complexity specific to the Philippines business. US consumer sentiment at 49.8 (University of Michigan, April 2026) is at recessionary levels, and the personal saving rate has collapsed to 2.6% — but these are US indicators, and JBFCY's primary market is the Philippines. The relevant macro signal is Philippines CPI at 7.2% in April 2026, which compresses real consumer purchasing power and creates a value-seeking dynamic that historically benefits QSR over casual dining. Jollibee's Chickenjoy Sarap Savers platform at the Php 99 price point generated Php 3Bn in Q1 2026 sales (8% share of business, p.13), suggesting the value positioning is working. The bear case on traffic — that 7.2% inflation causes consumers to trade down to home cooking — is partially offset by the food-away-from-home CPI of +3.5% YoY (BLS data) being below headline CPI of +4.2%, meaning restaurant pricing is not outpacing general inflation in the US context; the Philippines dynamic is more severe but the value-tier positioning provides a buffer.</w:t>
      </w:r>
    </w:p>
    <w:p>
      <w:r>
        <w:t>The bear case to the bull thesis is straightforward and must be stated fairly: if April 2026 Philippines CPI at 7.2% persists or accelerates through H2 (driven by the US-Iran oil shock), the 'moderate single digit' price increase will be insufficient to restore margins, the Php 2.8Bn cost containment plan will be overwhelmed by structural input cost inflation, and the H2 margin recovery narrative will fail. In that scenario, FY2026 operating income could print flat-to-down versus FY2025's $353.1M, making the +15% to +20% guidance not just a miss but a reversal. The specific evidence that would change the bull view: if Q2 2026 operating income growth prints negative again (i.e., the pricing actions did not offset cost inflation), the H2 recovery thesis collapses and the stock re-rates lower. The catalyst is the Q2 2026 earnings release, where management has committed to disclosing revised guidance. The mispricing exists because sell-side analysts are anchoring on the maintained guidance range rather than doing the bottom-up math on what Q2-Q4 must deliver — a mechanical anchoring bias that is common when management explicitly maintains guidance even while announcing a reassessment. The setup is not a squeeze or flow-driven dislocation; it is a fundamental mispricing of the probability distribution around the guidance range, with the street assigning too high a probability to the +15-20% scenario and too low a probability to the flat-to-negative scenario.</w:t>
      </w:r>
    </w:p>
    <w:p>
      <w:pPr>
        <w:pStyle w:val="SubHeading"/>
      </w:pPr>
      <w:r>
        <w:t>Published anchors (reference):</w:t>
      </w:r>
    </w:p>
    <w:p>
      <w:pPr>
        <w:pStyle w:val="SubHeading"/>
      </w:pPr>
      <w:r>
        <w:t>Management guidance:</w:t>
      </w:r>
    </w:p>
    <w:p>
      <w:pPr>
        <w:pStyle w:val="ListBullet"/>
      </w:pPr>
      <w:r>
        <w:t>Revenue (FY2026): 8% to 12%  — Deck p.29</w:t>
      </w:r>
    </w:p>
    <w:p>
      <w:pPr>
        <w:pStyle w:val="ListBullet"/>
      </w:pPr>
      <w:r>
        <w:t>New Units (FY2026): 1,200 to 1,300 stores; 5% to 10%  — Deck p.29</w:t>
      </w:r>
    </w:p>
    <w:p>
      <w:pPr>
        <w:pStyle w:val="ListBullet"/>
      </w:pPr>
      <w:r>
        <w:t>Operating Income (FY2026): 15% to 20%  — Deck p.29</w:t>
      </w:r>
    </w:p>
    <w:p>
      <w:pPr>
        <w:pStyle w:val="ListBullet"/>
      </w:pPr>
      <w:r>
        <w:t>Guidance Reassessment Timing (Q2 2026): Management is reassessing guidance to be disclosed by Q2  — Deck p.29</w:t>
      </w:r>
    </w:p>
    <w:p>
      <w:pPr>
        <w:pStyle w:val="ListBullet"/>
      </w:pPr>
      <w:r>
        <w:t>Philippines Cpi Inflation Forecast Jfc Internal Estimate (FY2026): 6.4% (revised up from 6.1%)  — Deck p.25</w:t>
      </w:r>
    </w:p>
    <w:p>
      <w:pPr>
        <w:pStyle w:val="ListBullet"/>
      </w:pPr>
      <w:r>
        <w:t>Philippines Cpi Inflation April 2026 Actual (April 2026): 7.2%  — Deck p.25</w:t>
      </w:r>
    </w:p>
    <w:p>
      <w:pPr>
        <w:pStyle w:val="ListBullet"/>
      </w:pPr>
      <w:r>
        <w:t>Oil Pass Through Inflation Sensitivity (FY2026): +0.37 ppt inflation per US$10/bbl increase in Dubai crude  — Deck p.25</w:t>
      </w:r>
    </w:p>
    <w:p>
      <w:pPr>
        <w:pStyle w:val="ListBullet"/>
      </w:pPr>
      <w:r>
        <w:t>Bsp Fy2026 Inflation Forecast (FY2026): 6.3% (from 5.1%)  — Deck p.25</w:t>
      </w:r>
    </w:p>
    <w:p>
      <w:pPr>
        <w:pStyle w:val="PullQuote"/>
      </w:pPr>
      <w:r>
        <w:t>No structured edge claims survived validation (3 candidate(s) rejected — see Appendix).</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Same-Store Sales Growth</w:t>
            </w:r>
          </w:p>
        </w:tc>
        <w:tc>
          <w:tcPr>
            <w:tcW w:type="dxa" w:w="2448"/>
            <w:tcBorders>
              <w:top w:val="single" w:sz="4" w:color="BDC3C7"/>
              <w:bottom w:val="single" w:sz="4" w:color="BDC3C7"/>
              <w:left w:val="single" w:sz="4" w:color="BDC3C7"/>
              <w:right w:val="single" w:sz="4" w:color="BDC3C7"/>
            </w:tcBorders>
          </w:tcPr>
          <w:p>
            <w:r>
              <w:rPr>
                <w:b/>
              </w:rPr>
              <w:t>+3.30%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ticket_growth</w:t>
            </w:r>
          </w:p>
        </w:tc>
        <w:tc>
          <w:tcPr>
            <w:tcW w:type="dxa" w:w="2448"/>
            <w:tcBorders>
              <w:top w:val="single" w:sz="4" w:color="BDC3C7"/>
              <w:bottom w:val="single" w:sz="4" w:color="BDC3C7"/>
              <w:left w:val="single" w:sz="4" w:color="BDC3C7"/>
              <w:right w:val="single" w:sz="4" w:color="BDC3C7"/>
            </w:tcBorders>
          </w:tcPr>
          <w:p>
            <w:r>
              <w:t>+4.00%</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Management implemented a 'moderate single digit price increase' in April 2026 (Deck p.6, p.8, p.11) described as required to 'recover Q1 and cushion balance of year margin pressures.' A moderate single-digit increase imp</w:t>
            </w:r>
          </w:p>
        </w:tc>
      </w:tr>
      <w:tr>
        <w:tc>
          <w:tcPr>
            <w:tcW w:type="dxa" w:w="2448"/>
            <w:tcBorders>
              <w:top w:val="single" w:sz="4" w:color="BDC3C7"/>
              <w:bottom w:val="single" w:sz="4" w:color="BDC3C7"/>
              <w:left w:val="single" w:sz="4" w:color="BDC3C7"/>
              <w:right w:val="single" w:sz="4" w:color="BDC3C7"/>
            </w:tcBorders>
          </w:tcPr>
          <w:p>
            <w:r>
              <w:t xml:space="preserve">    traffic_growth</w:t>
            </w:r>
          </w:p>
        </w:tc>
        <w:tc>
          <w:tcPr>
            <w:tcW w:type="dxa" w:w="2448"/>
            <w:tcBorders>
              <w:top w:val="single" w:sz="4" w:color="BDC3C7"/>
              <w:bottom w:val="single" w:sz="4" w:color="BDC3C7"/>
              <w:left w:val="single" w:sz="4" w:color="BDC3C7"/>
              <w:right w:val="single" w:sz="4" w:color="BDC3C7"/>
            </w:tcBorders>
          </w:tcPr>
          <w:p>
            <w:r>
              <w:t>-0.70%</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Q1 2026 SSSG of 3.5% was below the guided 4-6% floor (Deck p.29), and the deck does not decompose SSSG into traffic versus ticket components — a notable disclosure gap. With April 2026 Philippines CPI at 7.2% (Deck p.25)</w:t>
            </w:r>
          </w:p>
        </w:tc>
      </w:tr>
      <w:tr>
        <w:tc>
          <w:tcPr>
            <w:tcW w:type="dxa" w:w="2448"/>
            <w:tcBorders>
              <w:top w:val="single" w:sz="4" w:color="BDC3C7"/>
              <w:bottom w:val="single" w:sz="4" w:color="BDC3C7"/>
              <w:left w:val="single" w:sz="4" w:color="BDC3C7"/>
              <w:right w:val="single" w:sz="4" w:color="BDC3C7"/>
            </w:tcBorders>
          </w:tcPr>
          <w:p>
            <w:r>
              <w:rPr>
                <w:b/>
              </w:rPr>
              <w:t>New Store Openings</w:t>
            </w:r>
          </w:p>
        </w:tc>
        <w:tc>
          <w:tcPr>
            <w:tcW w:type="dxa" w:w="2448"/>
            <w:tcBorders>
              <w:top w:val="single" w:sz="4" w:color="BDC3C7"/>
              <w:bottom w:val="single" w:sz="4" w:color="BDC3C7"/>
              <w:left w:val="single" w:sz="4" w:color="BDC3C7"/>
              <w:right w:val="single" w:sz="4" w:color="BDC3C7"/>
            </w:tcBorders>
          </w:tcPr>
          <w:p>
            <w:r>
              <w:rPr>
                <w:b/>
              </w:rPr>
              <w:t>950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total_net_new_stores</w:t>
            </w:r>
          </w:p>
        </w:tc>
        <w:tc>
          <w:tcPr>
            <w:tcW w:type="dxa" w:w="2448"/>
            <w:tcBorders>
              <w:top w:val="single" w:sz="4" w:color="BDC3C7"/>
              <w:bottom w:val="single" w:sz="4" w:color="BDC3C7"/>
              <w:left w:val="single" w:sz="4" w:color="BDC3C7"/>
              <w:right w:val="single" w:sz="4" w:color="BDC3C7"/>
            </w:tcBorders>
          </w:tcPr>
          <w:p>
            <w:r>
              <w:t>950</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Management guides 1,200-1,300 net new stores for FY2026 (Deck p.29), with 700-800 targeted as franchised (Deck p.30). Q1 2026 store network growth was 4.9% (Deck p.29), just below the 5% guidance floor, with 181 new stor</w:t>
            </w:r>
          </w:p>
        </w:tc>
      </w:tr>
      <w:tr>
        <w:tc>
          <w:tcPr>
            <w:tcW w:type="dxa" w:w="2448"/>
            <w:tcBorders>
              <w:top w:val="single" w:sz="4" w:color="BDC3C7"/>
              <w:bottom w:val="single" w:sz="4" w:color="BDC3C7"/>
              <w:left w:val="single" w:sz="4" w:color="BDC3C7"/>
              <w:right w:val="single" w:sz="4" w:color="BDC3C7"/>
            </w:tcBorders>
          </w:tcPr>
          <w:p>
            <w:r>
              <w:rPr>
                <w:b/>
              </w:rPr>
              <w:t>Food Cost</w:t>
            </w:r>
          </w:p>
        </w:tc>
        <w:tc>
          <w:tcPr>
            <w:tcW w:type="dxa" w:w="2448"/>
            <w:tcBorders>
              <w:top w:val="single" w:sz="4" w:color="BDC3C7"/>
              <w:bottom w:val="single" w:sz="4" w:color="BDC3C7"/>
              <w:left w:val="single" w:sz="4" w:color="BDC3C7"/>
              <w:right w:val="single" w:sz="4" w:color="BDC3C7"/>
            </w:tcBorders>
          </w:tcPr>
          <w:p>
            <w:r>
              <w:rPr>
                <w:b/>
              </w:rPr>
              <w:t>+168bps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net_food_cost_pressure</w:t>
            </w:r>
          </w:p>
        </w:tc>
        <w:tc>
          <w:tcPr>
            <w:tcW w:type="dxa" w:w="2448"/>
            <w:tcBorders>
              <w:top w:val="single" w:sz="4" w:color="BDC3C7"/>
              <w:bottom w:val="single" w:sz="4" w:color="BDC3C7"/>
              <w:left w:val="single" w:sz="4" w:color="BDC3C7"/>
              <w:right w:val="single" w:sz="4" w:color="BDC3C7"/>
            </w:tcBorders>
          </w:tcPr>
          <w:p>
            <w:r>
              <w:t>+168bps</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Q1 2026 gross margin compressed to 16.5% from 18.5% in Q1 2025 — a 200bp deterioration (quarterly historical table). The deck attributes this to 'Cost of Inventories +13.1%' (Deck p.4), consistent with US PPI (all commod</w:t>
            </w:r>
          </w:p>
        </w:tc>
      </w:tr>
      <w:tr>
        <w:tc>
          <w:tcPr>
            <w:tcW w:type="dxa" w:w="2448"/>
            <w:tcBorders>
              <w:top w:val="single" w:sz="4" w:color="BDC3C7"/>
              <w:bottom w:val="single" w:sz="4" w:color="BDC3C7"/>
              <w:left w:val="single" w:sz="4" w:color="BDC3C7"/>
              <w:right w:val="single" w:sz="4" w:color="BDC3C7"/>
            </w:tcBorders>
          </w:tcPr>
          <w:p>
            <w:r>
              <w:rPr>
                <w:b/>
              </w:rPr>
              <w:t>Labor Cost</w:t>
            </w:r>
          </w:p>
        </w:tc>
        <w:tc>
          <w:tcPr>
            <w:tcW w:type="dxa" w:w="2448"/>
            <w:tcBorders>
              <w:top w:val="single" w:sz="4" w:color="BDC3C7"/>
              <w:bottom w:val="single" w:sz="4" w:color="BDC3C7"/>
              <w:left w:val="single" w:sz="4" w:color="BDC3C7"/>
              <w:right w:val="single" w:sz="4" w:color="BDC3C7"/>
            </w:tcBorders>
          </w:tcPr>
          <w:p>
            <w:r>
              <w:rPr>
                <w:b/>
              </w:rPr>
              <w:t>+30bps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net_labor_pressure</w:t>
            </w:r>
          </w:p>
        </w:tc>
        <w:tc>
          <w:tcPr>
            <w:tcW w:type="dxa" w:w="2448"/>
            <w:tcBorders>
              <w:top w:val="single" w:sz="4" w:color="BDC3C7"/>
              <w:bottom w:val="single" w:sz="4" w:color="BDC3C7"/>
              <w:left w:val="single" w:sz="4" w:color="BDC3C7"/>
              <w:right w:val="single" w:sz="4" w:color="BDC3C7"/>
            </w:tcBorders>
          </w:tcPr>
          <w:p>
            <w:r>
              <w:t>+30bps</w:t>
            </w:r>
          </w:p>
        </w:tc>
        <w:tc>
          <w:tcPr>
            <w:tcW w:type="dxa" w:w="2448"/>
            <w:tcBorders>
              <w:top w:val="single" w:sz="4" w:color="BDC3C7"/>
              <w:bottom w:val="single" w:sz="4" w:color="BDC3C7"/>
              <w:left w:val="single" w:sz="4" w:color="BDC3C7"/>
              <w:right w:val="single" w:sz="4" w:color="BDC3C7"/>
            </w:tcBorders>
          </w:tcPr>
          <w:p>
            <w:r>
              <w:t>0.40</w:t>
            </w:r>
          </w:p>
        </w:tc>
        <w:tc>
          <w:tcPr>
            <w:tcW w:type="dxa" w:w="2448"/>
            <w:tcBorders>
              <w:top w:val="single" w:sz="4" w:color="BDC3C7"/>
              <w:bottom w:val="single" w:sz="4" w:color="BDC3C7"/>
              <w:left w:val="single" w:sz="4" w:color="BDC3C7"/>
              <w:right w:val="single" w:sz="4" w:color="BDC3C7"/>
            </w:tcBorders>
          </w:tcPr>
          <w:p>
            <w:r>
              <w:t xml:space="preserve">BLS data shows leisure and hospitality average hourly earnings at +4.0% YoY as of May 2026, above the food-away-from-home CPI of +3.5% — a modest labor cost squeeze for restaurant operators. For JBFCY, the primary labor </w:t>
            </w:r>
          </w:p>
        </w:tc>
      </w:tr>
      <w:tr>
        <w:tc>
          <w:tcPr>
            <w:tcW w:type="dxa" w:w="2448"/>
            <w:tcBorders>
              <w:top w:val="single" w:sz="4" w:color="BDC3C7"/>
              <w:bottom w:val="single" w:sz="4" w:color="BDC3C7"/>
              <w:left w:val="single" w:sz="4" w:color="BDC3C7"/>
              <w:right w:val="single" w:sz="4" w:color="BDC3C7"/>
            </w:tcBorders>
          </w:tcPr>
          <w:p>
            <w:r>
              <w:rPr>
                <w:b/>
              </w:rPr>
              <w:t>Other Operating Costs</w:t>
            </w:r>
          </w:p>
        </w:tc>
        <w:tc>
          <w:tcPr>
            <w:tcW w:type="dxa" w:w="2448"/>
            <w:tcBorders>
              <w:top w:val="single" w:sz="4" w:color="BDC3C7"/>
              <w:bottom w:val="single" w:sz="4" w:color="BDC3C7"/>
              <w:left w:val="single" w:sz="4" w:color="BDC3C7"/>
              <w:right w:val="single" w:sz="4" w:color="BDC3C7"/>
            </w:tcBorders>
          </w:tcPr>
          <w:p>
            <w:r>
              <w:rPr>
                <w:b/>
              </w:rPr>
              <w:t>-20bps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net_other_cost_pressure</w:t>
            </w:r>
          </w:p>
        </w:tc>
        <w:tc>
          <w:tcPr>
            <w:tcW w:type="dxa" w:w="2448"/>
            <w:tcBorders>
              <w:top w:val="single" w:sz="4" w:color="BDC3C7"/>
              <w:bottom w:val="single" w:sz="4" w:color="BDC3C7"/>
              <w:left w:val="single" w:sz="4" w:color="BDC3C7"/>
              <w:right w:val="single" w:sz="4" w:color="BDC3C7"/>
            </w:tcBorders>
          </w:tcPr>
          <w:p>
            <w:r>
              <w:t>-20bps</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The Php 2.8Bn cost containment plan (Deck p.30) targets 'disciplined, balanced cost controls and choiceful capex deferment.' At approximately $50M USD equivalent (using a rough Php 56/USD rate), this represents ~1% of FY</w:t>
            </w:r>
          </w:p>
        </w:tc>
      </w:tr>
    </w:tbl>
    <w:p>
      <w:pPr>
        <w:pStyle w:val="SubHeading"/>
      </w:pPr>
      <w:r>
        <w:t>Bear revisions:</w:t>
      </w:r>
    </w:p>
    <w:p>
      <w:pPr>
        <w:pStyle w:val="ListBullet"/>
      </w:pPr>
      <w:r>
        <w:t>Same-Store Sales Growth.traffic_growth: -0.5 → -2.0 — If the 'moderate single digit' price increase suppresses traffic in the price-sensitive Philippines market — particularly in provinces (only 15% geographic penetration, Deck p.9) where consumers have lower income buffers — traffic could decline -2% YoY. Historical QSR precedent (analyst inference based on industry pattern) suggests price increases above 4-5% in emerging markets with high food-cost-as-share-of-income can generate meaningful traffic elasticity. The April 2026 CPI of 7.2% compresses real incomes, making consumers more price-sensitive precisely when JFC is raising prices.</w:t>
      </w:r>
    </w:p>
    <w:p>
      <w:pPr>
        <w:pStyle w:val="ListBullet"/>
      </w:pPr>
      <w:r>
        <w:t>Food Cost.net_food_cost_pressure: 120 → 180 — If Philippines CPI remains at 7.2% or higher through H2 2026 (driven by sustained oil price elevation from the US-Iran conflict), and the oil pass-through sensitivity of +0.37 ppt per $10/bbl (Deck p.25) continues to compound, the net food cost pressure could reach 180bps for FY2026 — close to the Q1 2026 level of ~200bps. In this scenario, the Php 2.8Bn cost containment plan and moderate pricing actions are insufficient to restore margins, and FY2026 operating income could decline 10-15% YoY.</w:t>
      </w:r>
    </w:p>
    <w:p>
      <w:pPr>
        <w:pStyle w:val="ListBullet"/>
      </w:pPr>
      <w:r>
        <w:t>New Store Openings.total_net_new_stores: 1150 → 950 — If the 'choiceful capex deferment' in the Php 2.8Bn cost containment plan is more aggressive than disclosed — for example, if company-owned store openings are cut by 30-40% to preserve cash — total net new stores could fall to ~950, below the guidance floor of 1,200. This would reduce the new store revenue contribution and signal to the market that the growth algorithm is under stress, potentially triggering a multiple de-rating.</w:t>
      </w:r>
    </w:p>
    <w:p>
      <w:pPr>
        <w:pStyle w:val="SectionHeading"/>
      </w:pPr>
      <w:r>
        <w:t>3. Consensus Gap &amp; Valuation</w:t>
      </w:r>
    </w:p>
    <w:p>
      <w:r>
        <w:t>Our EPS: $0.00  =  baseline $0.00  +  Σ claim impacts $+0.00</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Prior-year revenue × (1 + 8.0% guidance growth) — consensus revenue mean missing;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$0.00</w:t>
            </w:r>
          </w:p>
        </w:tc>
      </w:tr>
    </w:tbl>
    <w:p>
      <w:pPr>
        <w:pStyle w:val="PullQuote"/>
      </w:pPr>
      <w:r>
        <w:t xml:space="preserve">  ⚠ Baseline P&amp;L could not be constructed (missing consensus or shares); EPS build degraded to baseline EPS only.</w:t>
      </w:r>
    </w:p>
    <w:p>
      <w:r>
        <w:t>No consensus EPS to compare against</w:t>
      </w:r>
    </w:p>
    <w:p>
      <w:r>
        <w:t>Priced in: not fully</w:t>
      </w:r>
    </w:p>
    <w:p>
      <w:r>
        <w:t>Edge verdict: NO_CONSENSUS (score 0.000).</w:t>
      </w:r>
    </w:p>
    <w:p>
      <w:pPr>
        <w:pStyle w:val="SectionHeading"/>
      </w:pPr>
      <w:r>
        <w:t>4. Catalysts</w:t>
      </w:r>
    </w:p>
    <w:p>
      <w:r>
        <w:t>No dated catalysts identified in filings or available market data.</w:t>
      </w:r>
    </w:p>
    <w:p>
      <w:pPr>
        <w:pStyle w:val="SectionHeading"/>
      </w:pPr>
      <w:r>
        <w:t>5. Risks, Blind Spots &amp; Kill Criteria</w:t>
      </w:r>
    </w:p>
    <w:p>
      <w:pPr>
        <w:pStyle w:val="SubHeading"/>
      </w:pPr>
      <w:r>
        <w:t>Top risks:</w:t>
      </w:r>
    </w:p>
    <w:p>
      <w:pPr>
        <w:pStyle w:val="ListBullet"/>
      </w:pPr>
      <w:r>
        <w:t>Management's H2 2026 margin recovery narrative: pricing actions implemented in April will restore margins and deliver 'improved margins + operating leverage at new run rate' in H2. — counter: April 2026 Philippines CPI printed 7.2% — a 'sharp upside break' per Deck p.25 — after the pricing actions were implemented. The internal full-year forecast of 6.4% is already breached in the first month of Q2. The oil pass-through sensitivity of +0.37 ppt per $10/bbl (Deck p.25) means the US-Iran war shock is an ongoing cost headwind, not a one-time event. The 'moderate single digit' price increase (3-5%) covers perhaps 30-40% of the 13.1% cost-of-inventory inflation — the math does not support a full margin recovery in H2. [serious]</w:t>
      </w:r>
    </w:p>
    <w:p>
      <w:pPr>
        <w:pStyle w:val="ListBullet"/>
      </w:pPr>
      <w:r>
        <w:t>The FY2026 operating income guidance of +15-20% is achievable and management is maintaining it as 'broadly consistent with full-year guidance assumptions.' — counter: Q1 2026 operating income was -18.2% YoY ($69M vs $81M). For FY2026 to hit the low end of guidance (+15%), Q2-Q4 must collectively deliver ~+27% YoY growth. Management simultaneously announced a guidance reassessment to be disclosed by Q2 — these two statements are in direct tension. The track record slide (Deck p.29) shows the guidance was missed by 33-38 percentage points in Q1. [serious]</w:t>
      </w:r>
    </w:p>
    <w:p>
      <w:pPr>
        <w:pStyle w:val="ListBullet"/>
      </w:pPr>
      <w:r>
        <w:t>Compose Coffee's 30+ monthly store opening run rate and 31% SWS growth represent a durable international earnings engine. — counter: Compose Coffee's EBITDA 'reflects investment in brand, organization, menu and product innovation for domestic growth (&lt;10% share of market) and international expansion' (Deck p.20) — meaning the brand is in investment mode, not harvest mode. The EBITDA contribution to group earnings is being suppressed by growth investment, and the international expansion (Taiwan master franchise signed, Philippines and Singapore targeted) is at announcement/early stage with no quantified revenue contribution. [moderate]</w:t>
      </w:r>
    </w:p>
    <w:p>
      <w:pPr>
        <w:pStyle w:val="KillCriteria"/>
      </w:pPr>
      <w:r>
        <w:t>What would change our mind: Unable to close gap: Philippines-specific traffic vs. ticket decomposition of SSSG — the deck does not break out whether Q1's 3.5% SSSG was driven by ticket (pricing) or traffic, making it impossible to assess demand elasticity to the April price increase.</w:t>
      </w:r>
    </w:p>
    <w:p>
      <w:pPr>
        <w:pStyle w:val="SectionHeading"/>
      </w:pPr>
      <w:r>
        <w:t>Appendix</w:t>
      </w:r>
    </w:p>
    <w:p>
      <w:pPr>
        <w:pStyle w:val="SubHeading"/>
      </w:pPr>
      <w:r>
        <w:t>Evidence gaps (research TODO):</w:t>
      </w:r>
    </w:p>
    <w:p>
      <w:pPr>
        <w:pStyle w:val="ListBullet"/>
      </w:pPr>
      <w:r>
        <w:t>Philippines-specific traffic vs. ticket decomposition of SSSG — the deck does not break out whether Q1's 3.5% SSSG was driven by ticket (pricing) or traffic, making it impossible to assess demand elasticity to the April price increase.</w:t>
      </w:r>
    </w:p>
    <w:p>
      <w:pPr>
        <w:pStyle w:val="ListBullet"/>
      </w:pPr>
      <w:r>
        <w:t>Shabu All Day acquisition price, current EBITDA/EBIT, and integration timeline — the +8% EBIT accretion claim is unverifiable without these inputs, and the 70% ownership structure means only 70% flows to JFC shareholders.</w:t>
      </w:r>
    </w:p>
    <w:p>
      <w:pPr>
        <w:pStyle w:val="ListBullet"/>
      </w:pPr>
      <w:r>
        <w:t>Compose Coffee EBITDA contribution to group earnings — the brand is in investment mode and the EBITDA figure (28.4 to 101.4 in local currency units) is for Tim Ho Wan, not Compose Coffee; Compose Coffee's group EBIT contribution is not disclosed.</w:t>
      </w:r>
    </w:p>
    <w:p>
      <w:pPr>
        <w:pStyle w:val="ListBullet"/>
      </w:pPr>
      <w:r>
        <w:t>Q4 2024 revenue actuals — needed to verify whether Q1 2026's -5.2% sequential revenue decline is seasonal-normal or a real break in the pattern.</w:t>
      </w:r>
    </w:p>
    <w:p>
      <w:pPr>
        <w:pStyle w:val="ListBullet"/>
      </w:pPr>
      <w:r>
        <w:t>Philippines minimum wage trajectory for FY2026 — critical for modeling labor cost pressure in the primary market.</w:t>
      </w:r>
    </w:p>
    <w:p>
      <w:pPr>
        <w:pStyle w:val="ListBullet"/>
      </w:pPr>
      <w:r>
        <w:t>China segment profitability — Tim Ho Wan's 3.6x EBITDA expansion is disclosed 'ex. China,' suggesting China is a drag; the magnitude of the China drag is not quantified.</w:t>
      </w:r>
    </w:p>
    <w:p>
      <w:pPr>
        <w:pStyle w:val="ListBullet"/>
      </w:pPr>
      <w:r>
        <w:t>Smashburger standalone profitability and turnaround timeline — the COO-to-FR conversion (Php 1.3Bn investment) implies the brand is currently underperforming as a company-owned operation, but no financial details are disclosed.</w:t>
      </w:r>
    </w:p>
    <w:p>
      <w:pPr>
        <w:pStyle w:val="ListBullet"/>
      </w:pPr>
      <w:r>
        <w:t>FY2026 capex budget — the deck mentions 'choiceful capex deferment' but provides no total capex figure, making it impossible to model free cash flow or assess the balance sheet impact of the Php 1.3Bn COO-to-FR conversion investment.</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