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LYV — LYV</w:t>
      </w:r>
    </w:p>
    <w:p>
      <w:pPr>
        <w:pStyle w:val="SmallMeta"/>
      </w:pPr>
      <w:r>
        <w:t>As of 2026-04-20  |  Schema: general  |  Data: polygon+alpha_vantage (FY2025)</w:t>
      </w:r>
    </w:p>
    <w:p>
      <w:pPr>
        <w:pStyle w:val="SubHeading"/>
      </w:pPr>
      <w:r>
        <w:rPr>
          <w:color w:val="8C1D40"/>
        </w:rPr>
        <w:t>Direction: SHORT | Current: $156.26</w:t>
      </w:r>
    </w:p>
    <w:p>
      <w:pPr>
        <w:pStyle w:val="SubHeading"/>
      </w:pPr>
      <w:r>
        <w:t>Summary</w:t>
      </w:r>
    </w:p>
    <w:p>
      <w:pPr>
        <w:pStyle w:val="ListBullet"/>
      </w:pPr>
      <w:r>
        <w:t>Thesis: Street underestimates the margin expansion from venue mix shift and international growth acceleration. Consensus likely models flat margins, but we see 50-75bps expansion as stadium shows (3.3% margins) and owned venues (higher per-fan economics) drive mix improvement faster than costs inflate.</w:t>
      </w:r>
    </w:p>
    <w:p>
      <w:pPr>
        <w:pStyle w:val="ListBullet"/>
      </w:pPr>
      <w:r>
        <w:t>Next catalyst: Next quarterly earnings report (2026-05-07 (17 days))</w:t>
      </w:r>
    </w:p>
    <w:p>
      <w:pPr>
        <w:pStyle w:val="ListBullet"/>
      </w:pPr>
      <w:r>
        <w:t>Top risk: International growth can fully offset any U.S. consumer weakness</w:t>
      </w:r>
    </w:p>
    <w:p>
      <w:pPr>
        <w:pStyle w:val="SectionHeading"/>
      </w:pPr>
      <w:r>
        <w:t>1. Edge</w:t>
      </w:r>
    </w:p>
    <w:p>
      <w:r>
        <w:t>Street underestimates the margin expansion from venue mix shift and international growth acceleration. Consensus likely models flat margins, but we see 50-75bps expansion as stadium shows (3.3% margins) and owned venues (higher per-fan economics) drive mix improvement faster than costs inflate.</w:t>
      </w:r>
    </w:p>
    <w:p>
      <w:r>
        <w:t>The market is anchored on historical margin volatility and skeptical of Live Nation's ability to sustain the 52% operating income growth seen in 2025. However, management's confidence in compound double-digit growth stems from structural improvements: international markets now exceed U.S. fan count for the first time, venue investments are reaching maturity (14 major venues opening 2024-25), and the $4B deferred revenue (up 21%) provides unprecedented forward visibility.</w:t>
      </w:r>
    </w:p>
    <w:p>
      <w:r>
        <w:t>The debate: Whether Live Nation can sustain double-digit AOI growth in 2026 amid potential consumer spending normalization, regulatory pressures on ticketing, and the company's heavy capital investments in venue expansion.</w:t>
      </w:r>
    </w:p>
    <w:p>
      <w:pPr>
        <w:pStyle w:val="SubHeading"/>
      </w:pPr>
      <w:r>
        <w:t>What consensus assumes:</w:t>
      </w:r>
    </w:p>
    <w:p>
      <w:pPr>
        <w:pStyle w:val="ListBullet"/>
      </w:pPr>
      <w:r>
        <w:t>revenue_growth: Street likely assumes 8-10% revenue growth based on the guided double-digit AOI growth, implying modest margin expansion. This probably underweights the mix shift benefits from stadium growth and international expansion.</w:t>
      </w:r>
    </w:p>
    <w:p>
      <w:pPr>
        <w:pStyle w:val="ListBullet"/>
      </w:pPr>
      <w:r>
        <w:t>concert_margins: Consensus probably models flat to slightly down margins given historical volatility, missing the structural improvement from venue ownership and premium format mix shift that management highlighted.</w:t>
      </w:r>
    </w:p>
    <w:p>
      <w:pPr>
        <w:pStyle w:val="ListBullet"/>
      </w:pPr>
      <w:r>
        <w:t>international_contribution: Street may underestimate international acceleration, despite management noting it exceeded U.S. for first time and drove double-digit fan growth across all major venue types.</w:t>
      </w:r>
    </w:p>
    <w:p>
      <w:pPr>
        <w:pStyle w:val="SubHeading"/>
      </w:pPr>
      <w:r>
        <w:t>Where we differ from guidance:</w:t>
      </w:r>
    </w:p>
    <w:p>
      <w:pPr>
        <w:pStyle w:val="ListBullet"/>
      </w:pPr>
      <w:r>
        <w:t>aoi_growth: Management guides double-digit AOI growth for 2026 with high confidence, citing over 80% of large venue shows already booked. We model toward the higher end given the strong leading indicators and structural margin tailwinds.</w:t>
      </w:r>
    </w:p>
    <w:p>
      <w:pPr>
        <w:pStyle w:val="ListBullet"/>
      </w:pPr>
      <w:r>
        <w:t>concert_margins: Management expects continued margin expansion from venue mix and per-fan spend improvements. We align with this view, seeing 50-75bps expansion vs consensus likely modeling flat margins.</w:t>
      </w:r>
    </w:p>
    <w:p>
      <w:r>
        <w:t>Management tone shift in a recent call: Q3 2025: Management acknowledged amphitheater/arena underperformance but framed as portfolio diversification strength rather than structural issue</w:t>
      </w:r>
    </w:p>
    <w:p>
      <w:pPr>
        <w:pStyle w:val="PullQuote"/>
      </w:pPr>
      <w:r>
        <w:t>Counter: the analyst claims Street underestimates margin expansion from venue mix shift — but The analyst fundamentally misunderstands the cost structure - stadium shows require enormous artist guarantees and infrastructure investment that compress margins. The 3.3% figure is overall segment margin, not stadium margin, and the $15B artist investment suggests margin pressure, not expansion.</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revenue_growth_rate</w:t>
            </w:r>
          </w:p>
        </w:tc>
        <w:tc>
          <w:tcPr>
            <w:tcW w:type="dxa" w:w="2448"/>
            <w:tcBorders>
              <w:top w:val="single" w:sz="4" w:color="BDC3C7"/>
              <w:bottom w:val="single" w:sz="4" w:color="BDC3C7"/>
              <w:left w:val="single" w:sz="4" w:color="BDC3C7"/>
              <w:right w:val="single" w:sz="4" w:color="BDC3C7"/>
            </w:tcBorders>
          </w:tcPr>
          <w:p>
            <w:r>
              <w:rPr>
                <w:b/>
              </w:rPr>
              <w:t>+21.00%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concert_revenue_growth</w:t>
            </w:r>
          </w:p>
        </w:tc>
        <w:tc>
          <w:tcPr>
            <w:tcW w:type="dxa" w:w="2448"/>
            <w:tcBorders>
              <w:top w:val="single" w:sz="4" w:color="BDC3C7"/>
              <w:bottom w:val="single" w:sz="4" w:color="BDC3C7"/>
              <w:left w:val="single" w:sz="4" w:color="BDC3C7"/>
              <w:right w:val="single" w:sz="4" w:color="BDC3C7"/>
            </w:tcBorders>
          </w:tcPr>
          <w:p>
            <w:r>
              <w:t>+8.00%</w:t>
            </w:r>
          </w:p>
        </w:tc>
        <w:tc>
          <w:tcPr>
            <w:tcW w:type="dxa" w:w="2448"/>
            <w:tcBorders>
              <w:top w:val="single" w:sz="4" w:color="BDC3C7"/>
              <w:bottom w:val="single" w:sz="4" w:color="BDC3C7"/>
              <w:left w:val="single" w:sz="4" w:color="BDC3C7"/>
              <w:right w:val="single" w:sz="4" w:color="BDC3C7"/>
            </w:tcBorders>
          </w:tcPr>
          <w:p>
            <w:r>
              <w:t>0.72</w:t>
            </w:r>
          </w:p>
        </w:tc>
        <w:tc>
          <w:tcPr>
            <w:tcW w:type="dxa" w:w="2448"/>
            <w:tcBorders>
              <w:top w:val="single" w:sz="4" w:color="BDC3C7"/>
              <w:bottom w:val="single" w:sz="4" w:color="BDC3C7"/>
              <w:left w:val="single" w:sz="4" w:color="BDC3C7"/>
              <w:right w:val="single" w:sz="4" w:color="BDC3C7"/>
            </w:tcBorders>
          </w:tcPr>
          <w:p>
            <w:r>
              <w:t>In the Q4 2025 earnings call, CFO Joe Berktold stated that concerts delivered record AOI of $687 million, up 30%, with best-ever margin of 3.3%. Management guid</w:t>
            </w:r>
          </w:p>
        </w:tc>
      </w:tr>
      <w:tr>
        <w:tc>
          <w:tcPr>
            <w:tcW w:type="dxa" w:w="2448"/>
            <w:tcBorders>
              <w:top w:val="single" w:sz="4" w:color="BDC3C7"/>
              <w:bottom w:val="single" w:sz="4" w:color="BDC3C7"/>
              <w:left w:val="single" w:sz="4" w:color="BDC3C7"/>
              <w:right w:val="single" w:sz="4" w:color="BDC3C7"/>
            </w:tcBorders>
          </w:tcPr>
          <w:p>
            <w:r>
              <w:t xml:space="preserve">    ticketing_revenue_growth</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0.58</w:t>
            </w:r>
          </w:p>
        </w:tc>
        <w:tc>
          <w:tcPr>
            <w:tcW w:type="dxa" w:w="2448"/>
            <w:tcBorders>
              <w:top w:val="single" w:sz="4" w:color="BDC3C7"/>
              <w:bottom w:val="single" w:sz="4" w:color="BDC3C7"/>
              <w:left w:val="single" w:sz="4" w:color="BDC3C7"/>
              <w:right w:val="single" w:sz="4" w:color="BDC3C7"/>
            </w:tcBorders>
          </w:tcPr>
          <w:p>
            <w:r>
              <w:t>Management noted on the Q4 2025 call that ticketing has underlying mid-single digit growth but faces one-time headwinds from secondary market pressures. CFO sta</w:t>
            </w:r>
          </w:p>
        </w:tc>
      </w:tr>
      <w:tr>
        <w:tc>
          <w:tcPr>
            <w:tcW w:type="dxa" w:w="2448"/>
            <w:tcBorders>
              <w:top w:val="single" w:sz="4" w:color="BDC3C7"/>
              <w:bottom w:val="single" w:sz="4" w:color="BDC3C7"/>
              <w:left w:val="single" w:sz="4" w:color="BDC3C7"/>
              <w:right w:val="single" w:sz="4" w:color="BDC3C7"/>
            </w:tcBorders>
          </w:tcPr>
          <w:p>
            <w:r>
              <w:t xml:space="preserve">    sponsorship_revenue_growth</w:t>
            </w:r>
          </w:p>
        </w:tc>
        <w:tc>
          <w:tcPr>
            <w:tcW w:type="dxa" w:w="2448"/>
            <w:tcBorders>
              <w:top w:val="single" w:sz="4" w:color="BDC3C7"/>
              <w:bottom w:val="single" w:sz="4" w:color="BDC3C7"/>
              <w:left w:val="single" w:sz="4" w:color="BDC3C7"/>
              <w:right w:val="single" w:sz="4" w:color="BDC3C7"/>
            </w:tcBorders>
          </w:tcPr>
          <w:p>
            <w:r>
              <w:t>+11.00%</w:t>
            </w:r>
          </w:p>
        </w:tc>
        <w:tc>
          <w:tcPr>
            <w:tcW w:type="dxa" w:w="2448"/>
            <w:tcBorders>
              <w:top w:val="single" w:sz="4" w:color="BDC3C7"/>
              <w:bottom w:val="single" w:sz="4" w:color="BDC3C7"/>
              <w:left w:val="single" w:sz="4" w:color="BDC3C7"/>
              <w:right w:val="single" w:sz="4" w:color="BDC3C7"/>
            </w:tcBorders>
          </w:tcPr>
          <w:p>
            <w:r>
              <w:t>0.78</w:t>
            </w:r>
          </w:p>
        </w:tc>
        <w:tc>
          <w:tcPr>
            <w:tcW w:type="dxa" w:w="2448"/>
            <w:tcBorders>
              <w:top w:val="single" w:sz="4" w:color="BDC3C7"/>
              <w:bottom w:val="single" w:sz="4" w:color="BDC3C7"/>
              <w:left w:val="single" w:sz="4" w:color="BDC3C7"/>
              <w:right w:val="single" w:sz="4" w:color="BDC3C7"/>
            </w:tcBorders>
          </w:tcPr>
          <w:p>
            <w:r>
              <w:t>In the Q4 2025 call, management stated sponsorship AOI grew 11% to $845 million and guided it to continue to be up double digits in 2026. They noted over 70% of</w:t>
            </w:r>
          </w:p>
        </w:tc>
      </w:tr>
    </w:tbl>
    <w:p>
      <w:pPr>
        <w:pStyle w:val="SubHeading"/>
      </w:pPr>
      <w:r>
        <w:t>Bear revisions:</w:t>
      </w:r>
    </w:p>
    <w:p>
      <w:pPr>
        <w:pStyle w:val="ListBullet"/>
      </w:pPr>
      <w:r>
        <w:t>revenue_growth_rate.concert_revenue_growth: 12.0 → 8.0 — Consumer spending normalization could pressure attendance growth, and the 30% AOI growth in 2025 may prove difficult to sustain. If stadium show growth moderates or amphitheater/arena weakness persists beyond 2025, concert growth could decelerate to high-single digits.</w:t>
      </w:r>
    </w:p>
    <w:p>
      <w:pPr>
        <w:pStyle w:val="ListBullet"/>
      </w:pPr>
      <w:r>
        <w:t>revenue_growth_rate.ticketing_revenue_growth: 6.0 → 2.0 — Regulatory pressures on ticketing fees and secondary market disruption could prove more severe than management expects. The one-time headwinds mentioned could extend longer or intensify, limiting growth to low-single digits.</w:t>
      </w:r>
    </w:p>
    <w:p>
      <w:pPr>
        <w:pStyle w:val="PullQuote"/>
      </w:pPr>
      <w:r>
        <w:t>Counter: the analyst claims Owned venues provide higher per-fan economics — but Owned venues are capital-intensive with long payback periods and massive construction cost inflation. The filing emphasizes 'investing in premium, upgraded infrastructure' which destroys cash flow and returns for years before any margin benefit materializes.</w:t>
      </w:r>
    </w:p>
    <w:p>
      <w:pPr>
        <w:pStyle w:val="PullQuote"/>
      </w:pPr>
      <w:r>
        <w:t>Counter: the analyst claims Double-digit AOI growth sustainable in 2026 — but The growth is built on post-COVID pent-up demand that's normalizing. International expansion faces currency headwinds, and the company is simultaneously making massive CapEx investments while paying record artist guarantees - a margin squeeze waiting to happen.</w:t>
      </w:r>
    </w:p>
    <w:p>
      <w:pPr>
        <w:pStyle w:val="SectionHeading"/>
      </w:pPr>
      <w:r>
        <w:t>3. Consensus Gap &amp; Valuation</w:t>
      </w:r>
    </w:p>
    <w:p>
      <w:r>
        <w:t>Our estimate: EPS $1.64 vs. consensus $2.23 ($0.59 / 26.5% below).</w:t>
      </w:r>
    </w:p>
    <w:p>
      <w:r>
        <w:t>Our estimate is $0.59 (26.5%) below consensus $2.23. Primary driver: revenue_growth_rate.ticketing_revenue_growth (ours +2.0 vs street +24.5, contributing $-3.825 to EPS variant, evidence: weak). Variant appears NOT fully priced in based on available market data. Next catalyst: Next quarterly earnings report (2026-05-07 (17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revenue_growth_rate.ticketing_revenue_growth</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+24.50</w:t>
            </w:r>
          </w:p>
        </w:tc>
        <w:tc>
          <w:tcPr>
            <w:tcW w:type="dxa" w:w="1958"/>
            <w:tcBorders>
              <w:top w:val="single" w:sz="4" w:color="BDC3C7"/>
              <w:bottom w:val="single" w:sz="4" w:color="BDC3C7"/>
              <w:left w:val="single" w:sz="4" w:color="BDC3C7"/>
              <w:right w:val="single" w:sz="4" w:color="BDC3C7"/>
            </w:tcBorders>
          </w:tcPr>
          <w:p>
            <w:r>
              <w:t>-3.825</w:t>
            </w:r>
          </w:p>
        </w:tc>
        <w:tc>
          <w:tcPr>
            <w:tcW w:type="dxa" w:w="1958"/>
            <w:tcBorders>
              <w:top w:val="single" w:sz="4" w:color="BDC3C7"/>
              <w:bottom w:val="single" w:sz="4" w:color="BDC3C7"/>
              <w:left w:val="single" w:sz="4" w:color="BDC3C7"/>
              <w:right w:val="single" w:sz="4" w:color="BDC3C7"/>
            </w:tcBorders>
          </w:tcPr>
          <w:p>
            <w:r>
              <w:t>0.38</w:t>
            </w:r>
          </w:p>
        </w:tc>
      </w:tr>
      <w:tr>
        <w:tc>
          <w:tcPr>
            <w:tcW w:type="dxa" w:w="1958"/>
            <w:tcBorders>
              <w:top w:val="single" w:sz="4" w:color="BDC3C7"/>
              <w:bottom w:val="single" w:sz="4" w:color="BDC3C7"/>
              <w:left w:val="single" w:sz="4" w:color="BDC3C7"/>
              <w:right w:val="single" w:sz="4" w:color="BDC3C7"/>
            </w:tcBorders>
          </w:tcPr>
          <w:p>
            <w:r>
              <w:t>revenue_growth_rate.concert_revenue_growth</w:t>
            </w:r>
          </w:p>
        </w:tc>
        <w:tc>
          <w:tcPr>
            <w:tcW w:type="dxa" w:w="1958"/>
            <w:tcBorders>
              <w:top w:val="single" w:sz="4" w:color="BDC3C7"/>
              <w:bottom w:val="single" w:sz="4" w:color="BDC3C7"/>
              <w:left w:val="single" w:sz="4" w:color="BDC3C7"/>
              <w:right w:val="single" w:sz="4" w:color="BDC3C7"/>
            </w:tcBorders>
          </w:tcPr>
          <w:p>
            <w:r>
              <w:t>+8.00</w:t>
            </w:r>
          </w:p>
        </w:tc>
        <w:tc>
          <w:tcPr>
            <w:tcW w:type="dxa" w:w="1958"/>
            <w:tcBorders>
              <w:top w:val="single" w:sz="4" w:color="BDC3C7"/>
              <w:bottom w:val="single" w:sz="4" w:color="BDC3C7"/>
              <w:left w:val="single" w:sz="4" w:color="BDC3C7"/>
              <w:right w:val="single" w:sz="4" w:color="BDC3C7"/>
            </w:tcBorders>
          </w:tcPr>
          <w:p>
            <w:r>
              <w:t>+24.50</w:t>
            </w:r>
          </w:p>
        </w:tc>
        <w:tc>
          <w:tcPr>
            <w:tcW w:type="dxa" w:w="1958"/>
            <w:tcBorders>
              <w:top w:val="single" w:sz="4" w:color="BDC3C7"/>
              <w:bottom w:val="single" w:sz="4" w:color="BDC3C7"/>
              <w:left w:val="single" w:sz="4" w:color="BDC3C7"/>
              <w:right w:val="single" w:sz="4" w:color="BDC3C7"/>
            </w:tcBorders>
          </w:tcPr>
          <w:p>
            <w:r>
              <w:t>-2.805</w:t>
            </w:r>
          </w:p>
        </w:tc>
        <w:tc>
          <w:tcPr>
            <w:tcW w:type="dxa" w:w="1958"/>
            <w:tcBorders>
              <w:top w:val="single" w:sz="4" w:color="BDC3C7"/>
              <w:bottom w:val="single" w:sz="4" w:color="BDC3C7"/>
              <w:left w:val="single" w:sz="4" w:color="BDC3C7"/>
              <w:right w:val="single" w:sz="4" w:color="BDC3C7"/>
            </w:tcBorders>
          </w:tcPr>
          <w:p>
            <w:r>
              <w:t>0.52</w:t>
            </w:r>
          </w:p>
        </w:tc>
      </w:tr>
      <w:tr>
        <w:tc>
          <w:tcPr>
            <w:tcW w:type="dxa" w:w="1958"/>
            <w:tcBorders>
              <w:top w:val="single" w:sz="4" w:color="BDC3C7"/>
              <w:bottom w:val="single" w:sz="4" w:color="BDC3C7"/>
              <w:left w:val="single" w:sz="4" w:color="BDC3C7"/>
              <w:right w:val="single" w:sz="4" w:color="BDC3C7"/>
            </w:tcBorders>
          </w:tcPr>
          <w:p>
            <w:r>
              <w:t>revenue_growth_rate.sponsorship_revenue_growth</w:t>
            </w:r>
          </w:p>
        </w:tc>
        <w:tc>
          <w:tcPr>
            <w:tcW w:type="dxa" w:w="1958"/>
            <w:tcBorders>
              <w:top w:val="single" w:sz="4" w:color="BDC3C7"/>
              <w:bottom w:val="single" w:sz="4" w:color="BDC3C7"/>
              <w:left w:val="single" w:sz="4" w:color="BDC3C7"/>
              <w:right w:val="single" w:sz="4" w:color="BDC3C7"/>
            </w:tcBorders>
          </w:tcPr>
          <w:p>
            <w:r>
              <w:t>+11.00</w:t>
            </w:r>
          </w:p>
        </w:tc>
        <w:tc>
          <w:tcPr>
            <w:tcW w:type="dxa" w:w="1958"/>
            <w:tcBorders>
              <w:top w:val="single" w:sz="4" w:color="BDC3C7"/>
              <w:bottom w:val="single" w:sz="4" w:color="BDC3C7"/>
              <w:left w:val="single" w:sz="4" w:color="BDC3C7"/>
              <w:right w:val="single" w:sz="4" w:color="BDC3C7"/>
            </w:tcBorders>
          </w:tcPr>
          <w:p>
            <w:r>
              <w:t>+24.50</w:t>
            </w:r>
          </w:p>
        </w:tc>
        <w:tc>
          <w:tcPr>
            <w:tcW w:type="dxa" w:w="1958"/>
            <w:tcBorders>
              <w:top w:val="single" w:sz="4" w:color="BDC3C7"/>
              <w:bottom w:val="single" w:sz="4" w:color="BDC3C7"/>
              <w:left w:val="single" w:sz="4" w:color="BDC3C7"/>
              <w:right w:val="single" w:sz="4" w:color="BDC3C7"/>
            </w:tcBorders>
          </w:tcPr>
          <w:p>
            <w:r>
              <w:t>-2.295</w:t>
            </w:r>
          </w:p>
        </w:tc>
        <w:tc>
          <w:tcPr>
            <w:tcW w:type="dxa" w:w="1958"/>
            <w:tcBorders>
              <w:top w:val="single" w:sz="4" w:color="BDC3C7"/>
              <w:bottom w:val="single" w:sz="4" w:color="BDC3C7"/>
              <w:left w:val="single" w:sz="4" w:color="BDC3C7"/>
              <w:right w:val="single" w:sz="4" w:color="BDC3C7"/>
            </w:tcBorders>
          </w:tcPr>
          <w:p>
            <w:r>
              <w:t>0.58</w:t>
            </w:r>
          </w:p>
        </w:tc>
      </w:tr>
    </w:tbl>
    <w:p>
      <w:r>
        <w:t>Priced in: not fully — Variant (-26.5%) exceeds implied move (2.4%). Short interest 13.0% neutral</w:t>
      </w:r>
    </w:p>
    <w:p>
      <w:r>
        <w:t>Edge verdict: ACTIONABLE_EDGE (score 0.187).</w:t>
      </w:r>
    </w:p>
    <w:p>
      <w:pPr>
        <w:pStyle w:val="SectionHeading"/>
      </w:pPr>
      <w:r>
        <w:t>4. Catalysts</w:t>
      </w:r>
    </w:p>
    <w:p>
      <w:pPr>
        <w:pStyle w:val="ListBullet"/>
      </w:pPr>
      <w:r>
        <w:t>Next quarterly earnings report (2026-05-07 (17 days)) — resolves revenue + margins + guidance; confirms or challenges</w:t>
      </w:r>
    </w:p>
    <w:p>
      <w:pPr>
        <w:pStyle w:val="ListBullet"/>
      </w:pPr>
      <w:r>
        <w:t>Resolution: Bulls assume margin expansion continues indefinitely as Live Nation scales (Resolves at earnings (2026-05-07)) — resolves revenue_growth_rate; confirms or challenges</w:t>
      </w:r>
    </w:p>
    <w:p>
      <w:pPr>
        <w:pStyle w:val="ListBullet"/>
      </w:pPr>
      <w:r>
        <w:t>Resolution: International growth can fully offset any U.S. consumer weakness (Resolves at earnings (2026-05-07)) — resolves revenue_growth_rate; confirms or challenges</w:t>
      </w:r>
    </w:p>
    <w:p>
      <w:pPr>
        <w:pStyle w:val="ListBullet"/>
      </w:pPr>
      <w:r>
        <w:t>Resolution: Analyst blind spot (Multi-year thesis -- patience required) — resolves general; confirms or challenges</w:t>
      </w:r>
    </w:p>
    <w:p>
      <w:pPr>
        <w:pStyle w:val="ListBullet"/>
      </w:pPr>
      <w:r>
        <w:t>Specific breakdown of venue utilization rates for new openings (Unknown timing) — resolves multiple; resolves uncertainty</w:t>
      </w:r>
    </w:p>
    <w:p>
      <w:pPr>
        <w:pStyle w:val="ListBullet"/>
      </w:pPr>
      <w:r>
        <w:t>Quantified impact of regulatory changes on ticketing fee structure (Unknown timing) — resolves multiple; resolves uncertainty</w:t>
      </w:r>
    </w:p>
    <w:p>
      <w:pPr>
        <w:pStyle w:val="SectionHeading"/>
      </w:pPr>
      <w:r>
        <w:t>5. Risks, Blind Spots &amp; Kill Criteria</w:t>
      </w:r>
    </w:p>
    <w:p>
      <w:pPr>
        <w:pStyle w:val="SubHeading"/>
      </w:pPr>
      <w:r>
        <w:t>Top risks:</w:t>
      </w:r>
    </w:p>
    <w:p>
      <w:pPr>
        <w:pStyle w:val="ListBullet"/>
      </w:pPr>
      <w:r>
        <w:t>International growth can fully offset any U.S. consumer weakness — counter: While international markets exceeded U.S. for the first time, the company still generates majority revenue from North America. Any significant U.S. consumer pullback would be difficult to fully offset, especially given the higher margins typically associated with domestic stadium shows. [serious]</w:t>
      </w:r>
    </w:p>
    <w:p>
      <w:pPr>
        <w:pStyle w:val="ListBullet"/>
      </w:pPr>
      <w:r>
        <w:t>Stadium shows have 3.3% margins driving mix improvement — counter: Filing shows 3.3% is the overall Concerts segment margin, not stadium-specific margin. Stadium shows actually require massive artist guarantees and upfront investments that compress margins [serious]</w:t>
      </w:r>
    </w:p>
    <w:p>
      <w:pPr>
        <w:pStyle w:val="ListBullet"/>
      </w:pPr>
      <w:r>
        <w:t>Venue mix shift will drive 50-75bps margin expansion — counter: Filing shows company 'invested nearly $15 billion in artists and shows' - this massive artist investment scale suggests margin pressure, not expansion, as top acts command higher guarantees [serious]</w:t>
      </w:r>
    </w:p>
    <w:p>
      <w:pPr>
        <w:pStyle w:val="SubHeading"/>
      </w:pPr>
      <w:r>
        <w:t>Blind spots (auditor-independent):</w:t>
      </w:r>
    </w:p>
    <w:p>
      <w:pPr>
        <w:pStyle w:val="ListBullet"/>
      </w:pPr>
      <w:r>
        <w:t>Artist guarantee inflation significantly outpacing ticket price increases - the $15B artist investment figure suggests margin compression, not expansion</w:t>
      </w:r>
    </w:p>
    <w:p>
      <w:pPr>
        <w:pStyle w:val="ListBullet"/>
      </w:pPr>
      <w:r>
        <w:t>Venue construction costs and timeline risks in inflationary environment - 'world-class stages' and 'premium infrastructure' are massive CapEx drains</w:t>
      </w:r>
    </w:p>
    <w:p>
      <w:pPr>
        <w:pStyle w:val="ListBullet"/>
      </w:pPr>
      <w:r>
        <w:t>Regulatory antitrust scrutiny intensifying globally, not just on ticketing fees but on venue exclusivity and artist lock-ups</w:t>
      </w:r>
    </w:p>
    <w:p>
      <w:pPr>
        <w:pStyle w:val="KillCriteria"/>
      </w:pPr>
      <w:r>
        <w:t>What would change our mind: Print on revenue_growth_rate.ticketing_revenue_growth comes in above our +2.0 figure (toward street +24.5) in the next 1-2 prints.</w:t>
      </w:r>
    </w:p>
    <w:p>
      <w:pPr>
        <w:pStyle w:val="SectionHeading"/>
      </w:pPr>
      <w:r>
        <w:t>Appendix</w:t>
      </w:r>
    </w:p>
    <w:p>
      <w:pPr>
        <w:pStyle w:val="SubHeading"/>
      </w:pPr>
      <w:r>
        <w:t>Business context:</w:t>
      </w:r>
    </w:p>
    <w:p>
      <w:r>
        <w:t>Live Nation is the world's largest live entertainment company, operating through three segments: Concerts (promoting and producing live music events), Ticketing (primary ticketing via Ticketmaster), and Sponsorship &amp; Advertising (brand partnerships across venues and events). The company generates revenue from ticket sales, venue operations, artist promotion, ticketing fees, and sponsorship deals.</w:t>
      </w:r>
    </w:p>
    <w:p>
      <w:pPr>
        <w:pStyle w:val="SubHeading"/>
      </w:pPr>
      <w:r>
        <w:t>Evidence gaps (research TODO):</w:t>
      </w:r>
    </w:p>
    <w:p>
      <w:pPr>
        <w:pStyle w:val="ListBullet"/>
      </w:pPr>
      <w:r>
        <w:t>Specific breakdown of venue utilization rates for new openings</w:t>
      </w:r>
    </w:p>
    <w:p>
      <w:pPr>
        <w:pStyle w:val="ListBullet"/>
      </w:pPr>
      <w:r>
        <w:t>Quantified impact of regulatory changes on ticketing fee structure</w:t>
      </w:r>
    </w:p>
    <w:p>
      <w:pPr>
        <w:pStyle w:val="ListBullet"/>
      </w:pPr>
      <w:r>
        <w:t>Regional margin profiles to assess international expansion quality</w:t>
      </w:r>
    </w:p>
    <w:p>
      <w:pPr>
        <w:pStyle w:val="ListBullet"/>
      </w:pPr>
      <w:r>
        <w:t>Artist cost inflation rates relative to ticket price increases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