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LYV — LYV</w:t>
      </w:r>
    </w:p>
    <w:p>
      <w:pPr>
        <w:pStyle w:val="SmallMeta"/>
      </w:pPr>
      <w:r>
        <w:t>As of 2026-04-22  |  Schema: general  |  Data: polygon+alpha_vantage (FY2025)</w:t>
      </w:r>
    </w:p>
    <w:p>
      <w:pPr>
        <w:pStyle w:val="SubHeading"/>
      </w:pPr>
      <w:r>
        <w:rPr>
          <w:color w:val="8C1D40"/>
        </w:rPr>
        <w:t>Direction: SHORT | Current: $153.42</w:t>
      </w:r>
    </w:p>
    <w:p>
      <w:pPr>
        <w:pStyle w:val="SubHeading"/>
      </w:pPr>
      <w:r>
        <w:t>Summary</w:t>
      </w:r>
    </w:p>
    <w:p>
      <w:pPr>
        <w:pStyle w:val="ListBullet"/>
      </w:pPr>
      <w:r>
        <w:t>Thesis: Street underestimates the structural margin expansion from Venue Nation's accelerating fan growth, which management raised from high-single to double-digit guidance mid-2025, while overweighting secondary ticketing headwinds that are explicitly called 'one-time' by management.</w:t>
      </w:r>
    </w:p>
    <w:p>
      <w:pPr>
        <w:pStyle w:val="ListBullet"/>
      </w:pPr>
      <w:r>
        <w:t>Next catalyst: Next quarterly earnings report (2026-05-05 (13 days))</w:t>
      </w:r>
    </w:p>
    <w:p>
      <w:pPr>
        <w:pStyle w:val="ListBullet"/>
      </w:pPr>
      <w:r>
        <w:t>Top risk: Venue Nation fan growth guidance raised from high-single to double-digit mid-2025</w:t>
      </w:r>
    </w:p>
    <w:p>
      <w:pPr>
        <w:pStyle w:val="SectionHeading"/>
      </w:pPr>
      <w:r>
        <w:t>Street Consensus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Period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EPS (mean)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Range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n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YoY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30d Δ</w:t>
            </w:r>
          </w:p>
        </w:tc>
        <w:tc>
          <w:tcPr>
            <w:tcW w:type="dxa" w:w="1399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Revs 30d</w:t>
            </w:r>
          </w:p>
        </w:tc>
      </w:tr>
      <w:tr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Current Quarter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$-0.33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$-0.61 – $-0.06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13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-3.9%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 +0.009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↑1 / ↓1</w:t>
            </w:r>
          </w:p>
        </w:tc>
      </w:tr>
      <w:tr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Next Quarter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$0.98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$0.75 – $1.32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11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+139.3%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↓ -0.014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↑2 / ↓0</w:t>
            </w:r>
          </w:p>
        </w:tc>
      </w:tr>
      <w:tr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Current Fiscal Year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$1.56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$0.80 – $2.39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12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+750.4%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 +0.065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↑1 / ↓1</w:t>
            </w:r>
          </w:p>
        </w:tc>
      </w:tr>
      <w:tr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Next Fiscal Year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$2.23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$1.26 – $3.66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14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+43.0%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↓ -0.037</w:t>
            </w:r>
          </w:p>
        </w:tc>
        <w:tc>
          <w:tcPr>
            <w:tcW w:type="dxa" w:w="1399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↑1 / ↓2</w:t>
            </w:r>
          </w:p>
        </w:tc>
      </w:tr>
    </w:tbl>
    <w:p>
      <w:r>
        <w:t>Revenue consensus: Q $3.61B (+6.8%)  |  Q+1 $7.65B (+9.2%)  |  FY $27.49B (+9.1%)  |  FY+1 $30.04B (+9.3%)</w:t>
      </w:r>
    </w:p>
    <w:p>
      <w:r>
        <w:t>Price targets: Mean $183.30  |  Median $190.00  |  Range $140.00–$206.00  |  Current $153.00 (+19.8% to mean)</w:t>
      </w:r>
    </w:p>
    <w:p>
      <w:r>
        <w:t>Analyst ratings (n=24): Strong Buy 3 · Buy 17 · Hold 3 · Sell 1 · Strong Sell 0  ·  83% bullish</w:t>
      </w:r>
    </w:p>
    <w:p>
      <w:r>
        <w:t>Next earnings: 2026-05-05 (13d out)  ·  EPS $-0.33 ($-0.61–$-0.06)  ·  Rev $3.61B</w:t>
      </w:r>
    </w:p>
    <w:p>
      <w:pPr>
        <w:pStyle w:val="SectionHeading"/>
      </w:pPr>
      <w:r>
        <w:t>1. Edge</w:t>
      </w:r>
    </w:p>
    <w:p>
      <w:r>
        <w:t>Street underestimates the structural margin expansion from Venue Nation's accelerating fan growth, which management raised from high-single to double-digit guidance mid-2025, while overweighting secondary ticketing headwinds that are explicitly called 'one-time' by management.</w:t>
      </w:r>
    </w:p>
    <w:p>
      <w:r>
        <w:t>Consensus likely models Venue Nation as a modest contributor, but management's confidence upgrade to double-digit fan growth suggests this owned-venue revenue stream (with higher margins from concessions/parking) is becoming a meaningful earnings driver. The street appears anchored on ticketing fee concerns while missing that management explicitly guides double-digit concert AOI growth with 80% of shows already booked, providing unusual forward visibility.</w:t>
      </w:r>
    </w:p>
    <w:p>
      <w:r>
        <w:t>The debate: The market is debating whether Live Nation can sustain double-digit AOI growth amid venue mix volatility, with stadium dominance creating margin questions and secondary ticketing headwinds emerging. Investors are also questioning the sustainability of consumer demand for premium-priced live entertainment.</w:t>
      </w:r>
    </w:p>
    <w:p>
      <w:pPr>
        <w:pStyle w:val="SubHeading"/>
      </w:pPr>
      <w:r>
        <w:t>What consensus assumes:</w:t>
      </w:r>
    </w:p>
    <w:p>
      <w:pPr>
        <w:pStyle w:val="ListBullet"/>
      </w:pPr>
      <w:r>
        <w:t>revenue_growth_pct: Street likely assumes ~9% revenue growth matching 2025's pace, but may underweight the stadium show volume acceleration that management describes as 'double digits up' with international expansion driving incremental growth beyond historical patterns.</w:t>
      </w:r>
    </w:p>
    <w:p>
      <w:pPr>
        <w:pStyle w:val="ListBullet"/>
      </w:pPr>
      <w:r>
        <w:t>cogs_delta_bps: Consensus probably models modest cost inflation, but may not fully capture the margin benefit from venue mix shift toward owned properties where Live Nation captures concession/parking revenue that doesn't exist in third-party venues.</w:t>
      </w:r>
    </w:p>
    <w:p>
      <w:pPr>
        <w:pStyle w:val="ListBullet"/>
      </w:pPr>
      <w:r>
        <w:t>opex_delta_bps: Street likely assumes normal SG&amp;A leverage, potentially missing the pre-opening expenses for 14 major venue openings that create near-term drag but position for structural margin expansion.</w:t>
      </w:r>
    </w:p>
    <w:p>
      <w:pPr>
        <w:pStyle w:val="SubHeading"/>
      </w:pPr>
      <w:r>
        <w:t>Where we differ from guidance:</w:t>
      </w:r>
    </w:p>
    <w:p>
      <w:pPr>
        <w:pStyle w:val="ListBullet"/>
      </w:pPr>
      <w:r>
        <w:t>revenue_growth_pct: Management guides double-digit AOI growth with sponsorship up double-digits and concerts up double-digits. Our 12% revenue growth aligns with this confidence, supported by their 80% show booking rate and international stadium expansion.</w:t>
      </w:r>
    </w:p>
    <w:p>
      <w:pPr>
        <w:pStyle w:val="ListBullet"/>
      </w:pPr>
      <w:r>
        <w:t>cogs_delta_bps: Management emphasizes margin accretion from Venue Nation fan growth. Our -50bps cost improvement reflects the mix benefit from owned venues generating higher-margin concession revenue versus third-party venue splits.</w:t>
      </w:r>
    </w:p>
    <w:p>
      <w:pPr>
        <w:pStyle w:val="ListBullet"/>
      </w:pPr>
      <w:r>
        <w:t>opex_delta_bps: Management acknowledges pre-opening expenses from venue expansion but maintains double-digit AOI growth confidence. Our +25bps increase is conservative given their guidance strength.</w:t>
      </w:r>
    </w:p>
    <w:p>
      <w:pPr>
        <w:pStyle w:val="PullQuote"/>
      </w:pPr>
      <w:r>
        <w:t>Counter: the analyst claims Street underestimates structural margin expansion from Venue Nation's accelerating fan growth — but The filing shows margins expanded only 0.5% despite 30% AOI growth in Concerts, suggesting scale benefits are being offset by venue mix shift to lower-margin stadiums. Stadium fan count 'more than doubled' but overall fan growth was only 5%, indicating a structural margin compression as the business skews toward high-volume, low-margin stadium events.</w:t>
      </w:r>
    </w:p>
    <w:p>
      <w:pPr>
        <w:pStyle w:val="PullQuote"/>
      </w:pPr>
      <w:r>
        <w:t>Counter: the analyst claims Management guidance indicates accelerating double-digit venue growth — but The analyst fundamentally misread the guidance - 'high-single to low-double digits' for 2026 is not an acceleration from previous guidance but actually suggests deceleration from the current year's momentum. This guidance sandbagging indicates management sees headwinds ahead, not tailwinds.</w:t>
      </w:r>
    </w:p>
    <w:p>
      <w:pPr>
        <w:pStyle w:val="SectionHeading"/>
      </w:pPr>
      <w:r>
        <w:t>2. Drivers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 / Component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Value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Revenue Growth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+9.39%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stadium_show_acceleration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+4.93%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0.75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In the Q4 2025 call, CFO stated 'stadiums are up double digits' with 'international being well up on stadiums, even after a banner growth last year.' Management</w:t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venue_nation_expansion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+2.11%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0.70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In the Q1 2025 call, CFO raised Venue Nation fan count guidance from 'high single digits to double digits' and stated 'we're now expecting double-digit growth i</w:t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sponsorship_momentum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+2.35%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0.80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In the Q4 2025 call, CFO stated 'sponsorship, straightforward. Expect it to continue to be up double digits AOI this year. We're over 70% booked and running dou</w:t>
            </w:r>
          </w:p>
        </w:tc>
      </w:tr>
    </w:tbl>
    <w:p>
      <w:pPr>
        <w:pStyle w:val="SubHeading"/>
      </w:pPr>
      <w:r>
        <w:t>Bear revisions:</w:t>
      </w:r>
    </w:p>
    <w:p>
      <w:pPr>
        <w:pStyle w:val="ListBullet"/>
      </w:pPr>
      <w:r>
        <w:t>Revenue Growth.stadium_show_acceleration: 8.22 → 4.0 — If consumer demand weakens for premium-priced stadium shows, the 10x revenue multiplier effect works in reverse. Management's 75% first-week sell-through rate, while strong, represents a deceleration risk if economic conditions tighten.</w:t>
      </w:r>
    </w:p>
    <w:p>
      <w:pPr>
        <w:pStyle w:val="ListBullet"/>
      </w:pPr>
      <w:r>
        <w:t>Revenue Growth.venue_nation_expansion: 3.52 → 1.0 — Pre-opening expenses and venue ramp-up challenges could delay the margin accretion story. The 14 venue openings create execution risk, and double-digit fan growth may not immediately translate to proportional revenue given operational learning curves.</w:t>
      </w:r>
    </w:p>
    <w:p>
      <w:pPr>
        <w:pStyle w:val="PullQuote"/>
      </w:pPr>
      <w:r>
        <w:t>Counter: the analyst claims Stadium show acceleration drives sustainable growth — but Stadium economics are fundamentally different - they're binary events with massive downside if cancelled and create winner-take-all dynamics where only the biggest acts can fill them. The 'more than doubled' stadium activity represents concentration risk, not diversification, as the business becomes increasingly dependent on a shrinking pool of stadium-capable artists.</w:t>
      </w:r>
    </w:p>
    <w:p>
      <w:pPr>
        <w:pStyle w:val="SectionHeading"/>
      </w:pPr>
      <w:r>
        <w:t>3. Consensus Gap &amp; Valuation</w:t>
      </w:r>
    </w:p>
    <w:p>
      <w:r>
        <w:t>Our estimate: EPS $0.42 vs. consensus $1.56 ($1.14 / 73.1% below).</w:t>
      </w:r>
    </w:p>
    <w:p>
      <w:r>
        <w:t>Our estimate is $1.14 (73.1%) below consensus $1.56. Primary driver: Revenue Growth.stadium_show_acceleration (ours +4.9 vs street +11.4, contributing $-1.108 to EPS variant, evidence: strong). Variant appears NOT fully priced in based on available market data. Next catalyst: Next quarterly earnings report (2026-05-05 (13 days)). Time horizon: trade.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958"/>
        <w:gridCol w:w="1958"/>
        <w:gridCol w:w="1958"/>
        <w:gridCol w:w="1958"/>
        <w:gridCol w:w="1958"/>
      </w:tblGrid>
      <w:tr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Ours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Street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Δ EPS</w:t>
            </w:r>
          </w:p>
        </w:tc>
        <w:tc>
          <w:tcPr>
            <w:tcW w:type="dxa" w:w="195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Revenue Growth.stadium_show_acceleration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+4.93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+11.45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-1.108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0.70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Revenue Growth.sponsorship_momentum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+2.35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+8.86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-1.107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0.75</w:t>
            </w:r>
          </w:p>
        </w:tc>
      </w:tr>
      <w:tr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Revenue Growth.venue_nation_expansion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+2.11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+8.61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-1.105</w:t>
            </w:r>
          </w:p>
        </w:tc>
        <w:tc>
          <w:tcPr>
            <w:tcW w:type="dxa" w:w="195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0.65</w:t>
            </w:r>
          </w:p>
        </w:tc>
      </w:tr>
    </w:tbl>
    <w:p>
      <w:r>
        <w:t>Priced in: not fully — Variant (-73.1%) exceeds implied move (2.2%). Short interest 13.0% neutral</w:t>
      </w:r>
    </w:p>
    <w:p>
      <w:r>
        <w:t>Edge verdict: ACTIONABLE_EDGE (score 0.393).</w:t>
      </w:r>
    </w:p>
    <w:p>
      <w:pPr>
        <w:pStyle w:val="SectionHeading"/>
      </w:pPr>
      <w:r>
        <w:t>4. Catalysts</w:t>
      </w:r>
    </w:p>
    <w:p>
      <w:pPr>
        <w:pStyle w:val="ListBullet"/>
      </w:pPr>
      <w:r>
        <w:t>Next quarterly earnings report (2026-05-05 (13 days)) — resolves revenue + margins + guidance; confirms or challenges</w:t>
      </w:r>
    </w:p>
    <w:p>
      <w:pPr>
        <w:pStyle w:val="ListBullet"/>
      </w:pPr>
      <w:r>
        <w:t>Resolution: Bull case assumes ticketing revenue will accelerate with stadium volume (Multi-year thesis -- patience required) — resolves Revenue Growth; confirms or challenges</w:t>
      </w:r>
    </w:p>
    <w:p>
      <w:pPr>
        <w:pStyle w:val="ListBullet"/>
      </w:pPr>
      <w:r>
        <w:t>Resolution: Margin expansion story assumes smooth venue ramp-up (Multi-year thesis -- patience required) — resolves Revenue Growth; confirms or challenges</w:t>
      </w:r>
    </w:p>
    <w:p>
      <w:pPr>
        <w:pStyle w:val="ListBullet"/>
      </w:pPr>
      <w:r>
        <w:t>Resolution: Analyst blind spot (Multi-year thesis -- patience required) — resolves general; confirms or challenges</w:t>
      </w:r>
    </w:p>
    <w:p>
      <w:pPr>
        <w:pStyle w:val="ListBullet"/>
      </w:pPr>
      <w:r>
        <w:t>Specific breakdown of secondary ticketing headwind magnitude and duration (Unknown timing) — resolves multiple; resolves uncertainty</w:t>
      </w:r>
    </w:p>
    <w:p>
      <w:pPr>
        <w:pStyle w:val="ListBullet"/>
      </w:pPr>
      <w:r>
        <w:t>Quantified impact of venue pre-opening expenses on near-term margins (Unknown timing) — resolves multiple; resolves uncertainty</w:t>
      </w:r>
    </w:p>
    <w:p>
      <w:pPr>
        <w:pStyle w:val="SectionHeading"/>
      </w:pPr>
      <w:r>
        <w:t>5. Risks, Blind Spots &amp; Kill Criteria</w:t>
      </w:r>
    </w:p>
    <w:p>
      <w:pPr>
        <w:pStyle w:val="SubHeading"/>
      </w:pPr>
      <w:r>
        <w:t>Top risks:</w:t>
      </w:r>
    </w:p>
    <w:p>
      <w:pPr>
        <w:pStyle w:val="ListBullet"/>
      </w:pPr>
      <w:r>
        <w:t>Venue Nation fan growth guidance raised from high-single to double-digit mid-2025 — counter: Filing shows 'Venue Nation expected to host over 70 million fans in 2026, growing high-single to low-double digits' - this is NOT a mid-year guidance raise but forward guidance that still includes high-single digits [serious]</w:t>
      </w:r>
    </w:p>
    <w:p>
      <w:pPr>
        <w:pStyle w:val="ListBullet"/>
      </w:pPr>
      <w:r>
        <w:t>Secondary ticketing headwinds are 'explicitly called one-time by management' — counter: No mention of secondary ticketing headwinds being called 'one-time' anywhere in the provided filing text [serious]</w:t>
      </w:r>
    </w:p>
    <w:p>
      <w:pPr>
        <w:pStyle w:val="ListBullet"/>
      </w:pPr>
      <w:r>
        <w:t>Bull case assumes ticketing revenue will accelerate with stadium volume — counter: In the Q4 2025 call, CFO explicitly stated 'On ticketing, I'd say we're not expecting a lot out of it this year. We've got some underlying mid-single digit growth. We've got some one-time headwinds on secondary.' This directly contradicts assumptions that ticketing will be a major growth driver despite stadium volume increases. [moderate]</w:t>
      </w:r>
    </w:p>
    <w:p>
      <w:pPr>
        <w:pStyle w:val="SubHeading"/>
      </w:pPr>
      <w:r>
        <w:t>Blind spots (auditor-independent):</w:t>
      </w:r>
    </w:p>
    <w:p>
      <w:pPr>
        <w:pStyle w:val="ListBullet"/>
      </w:pPr>
      <w:r>
        <w:t>The $15 billion artist investment figure represents 60% of total revenue - this cash flow timing mismatch creates massive working capital volatility that could strain liquidity during economic downturns</w:t>
      </w:r>
    </w:p>
    <w:p>
      <w:pPr>
        <w:pStyle w:val="ListBullet"/>
      </w:pPr>
      <w:r>
        <w:t>International markets now exceed US fan count 'for the first time' - this geographic shift exposes Live Nation to foreign exchange risk, regulatory complexity, and emerging market political instability that wasn't material before</w:t>
      </w:r>
    </w:p>
    <w:p>
      <w:pPr>
        <w:pStyle w:val="ListBullet"/>
      </w:pPr>
      <w:r>
        <w:t>Stadium shows 'more than doubled' in North America - stadiums have 10x the capacity but similar fixed costs to smaller venues, meaning weather cancellations or artist no-shows create outsized revenue volatility</w:t>
      </w:r>
    </w:p>
    <w:p>
      <w:pPr>
        <w:pStyle w:val="KillCriteria"/>
      </w:pPr>
      <w:r>
        <w:t>What would change our mind: Print on Revenue Growth.stadium_show_acceleration comes in above our +4.9 figure (toward street +11.4) in the next 1-2 prints.</w:t>
      </w:r>
    </w:p>
    <w:p>
      <w:pPr>
        <w:pStyle w:val="SectionHeading"/>
      </w:pPr>
      <w:r>
        <w:t>Appendix</w:t>
      </w:r>
    </w:p>
    <w:p>
      <w:pPr>
        <w:pStyle w:val="SubHeading"/>
      </w:pPr>
      <w:r>
        <w:t>Business context:</w:t>
      </w:r>
    </w:p>
    <w:p>
      <w:r>
        <w:t>Live Nation is the world's largest live entertainment company, operating concerts across owned and third-party venues globally, selling tickets through Ticketmaster, and monetizing fans through sponsorships and venue concessions. The company generates revenue from three main segments: Concerts (promoting shows and artist services), Ticketing (fees from ticket sales), and Sponsorship &amp; Advertising (corporate partnerships).</w:t>
      </w:r>
    </w:p>
    <w:p>
      <w:pPr>
        <w:pStyle w:val="SubHeading"/>
      </w:pPr>
      <w:r>
        <w:t>Evidence gaps (research TODO):</w:t>
      </w:r>
    </w:p>
    <w:p>
      <w:pPr>
        <w:pStyle w:val="ListBullet"/>
      </w:pPr>
      <w:r>
        <w:t>Specific breakdown of secondary ticketing headwind magnitude and duration</w:t>
      </w:r>
    </w:p>
    <w:p>
      <w:pPr>
        <w:pStyle w:val="ListBullet"/>
      </w:pPr>
      <w:r>
        <w:t>Quantified impact of venue pre-opening expenses on near-term margins</w:t>
      </w:r>
    </w:p>
    <w:p>
      <w:pPr>
        <w:pStyle w:val="ListBullet"/>
      </w:pPr>
      <w:r>
        <w:t>Geographic mix of international stadium growth and local market dynamics</w:t>
      </w:r>
    </w:p>
    <w:p>
      <w:pPr>
        <w:pStyle w:val="ListBullet"/>
      </w:pPr>
      <w:r>
        <w:t>Competitive response to Live Nation's venue expansion in key markets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before="0" w:after="40" w:line="276" w:lineRule="auto"/>
    </w:pPr>
    <w:rPr>
      <w:rFonts w:ascii="Calibri" w:hAnsi="Calibri"/>
      <w:b/>
      <w:i w:val="0"/>
      <w:color w:val="0F2A4E"/>
      <w:sz w:val="40"/>
    </w:rPr>
  </w:style>
  <w:style w:type="paragraph" w:customStyle="1" w:styleId="SectionHeading">
    <w:name w:val="SectionHeading"/>
    <w:pPr>
      <w:spacing w:before="280" w:after="80" w:line="276" w:lineRule="auto"/>
    </w:pPr>
    <w:rPr>
      <w:rFonts w:ascii="Calibri" w:hAnsi="Calibri"/>
      <w:b/>
      <w:i w:val="0"/>
      <w:color w:val="0F2A4E"/>
      <w:sz w:val="28"/>
    </w:rPr>
  </w:style>
  <w:style w:type="paragraph" w:customStyle="1" w:styleId="SubHeading">
    <w:name w:val="SubHeading"/>
    <w:pPr>
      <w:spacing w:before="120" w:after="40" w:line="276" w:lineRule="auto"/>
    </w:pPr>
    <w:rPr>
      <w:rFonts w:ascii="Calibri" w:hAnsi="Calibri"/>
      <w:b/>
      <w:i w:val="0"/>
      <w:color w:val="334B6B"/>
      <w:sz w:val="22"/>
    </w:rPr>
  </w:style>
  <w:style w:type="paragraph" w:customStyle="1" w:styleId="PullQuote">
    <w:name w:val="PullQuote"/>
    <w:pPr>
      <w:spacing w:before="80" w:after="120" w:line="276" w:lineRule="auto"/>
      <w:ind w:left="432"/>
    </w:pPr>
    <w:rPr>
      <w:rFonts w:ascii="Calibri" w:hAnsi="Calibri"/>
      <w:b w:val="0"/>
      <w:i/>
      <w:color w:val="555555"/>
      <w:sz w:val="21"/>
    </w:rPr>
  </w:style>
  <w:style w:type="paragraph" w:customStyle="1" w:styleId="KillCriteria">
    <w:name w:val="KillCriteria"/>
    <w:pPr>
      <w:spacing w:before="120" w:after="120" w:line="276" w:lineRule="auto"/>
    </w:pPr>
    <w:rPr>
      <w:rFonts w:ascii="Calibri" w:hAnsi="Calibri"/>
      <w:b/>
      <w:i w:val="0"/>
      <w:color w:val="8C1D40"/>
      <w:sz w:val="21"/>
    </w:rPr>
  </w:style>
  <w:style w:type="paragraph" w:customStyle="1" w:styleId="ReportBullet">
    <w:name w:val="ReportBullet"/>
    <w:pPr>
      <w:spacing w:before="0" w:after="60" w:line="276" w:lineRule="auto"/>
    </w:pPr>
    <w:rPr>
      <w:rFonts w:ascii="Calibri" w:hAnsi="Calibri"/>
      <w:b w:val="0"/>
      <w:i w:val="0"/>
      <w:color w:val="1A1A1A"/>
      <w:sz w:val="21"/>
    </w:rPr>
  </w:style>
  <w:style w:type="paragraph" w:customStyle="1" w:styleId="ReportCaption">
    <w:name w:val="ReportCaption"/>
    <w:pPr>
      <w:spacing w:before="40" w:after="40" w:line="276" w:lineRule="auto"/>
    </w:pPr>
    <w:rPr>
      <w:rFonts w:ascii="Calibri" w:hAnsi="Calibri"/>
      <w:b w:val="0"/>
      <w:i/>
      <w:color w:val="555555"/>
      <w:sz w:val="18"/>
    </w:rPr>
  </w:style>
  <w:style w:type="paragraph" w:customStyle="1" w:styleId="SmallMeta">
    <w:name w:val="SmallMeta"/>
    <w:pPr>
      <w:spacing w:before="0" w:after="80" w:line="276" w:lineRule="auto"/>
    </w:pPr>
    <w:rPr>
      <w:rFonts w:ascii="Calibri" w:hAnsi="Calibri"/>
      <w:b w:val="0"/>
      <w:i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