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ORLA — ORLA</w:t>
      </w:r>
    </w:p>
    <w:p>
      <w:pPr>
        <w:pStyle w:val="SmallMeta"/>
      </w:pPr>
      <w:r>
        <w:t>As of 2026-05-08  |  Schema: general  |  Data: alpha_vantage (FY2025)</w:t>
      </w:r>
    </w:p>
    <w:p>
      <w:pPr>
        <w:pStyle w:val="SubHeading"/>
      </w:pPr>
      <w:r>
        <w:rPr>
          <w:color w:val="8C1D40"/>
        </w:rPr>
        <w:t>Current: $15.06</w:t>
      </w:r>
    </w:p>
    <w:p>
      <w:pPr>
        <w:pStyle w:val="SubHeading"/>
      </w:pPr>
      <w:r>
        <w:t>Summary</w:t>
      </w:r>
    </w:p>
    <w:p>
      <w:pPr>
        <w:pStyle w:val="ListBullet"/>
      </w:pPr>
      <w:r>
        <w:t>Thesis: No clear edge identified -- estimate is close to consensus range given limited visibility into specific operational metrics and cost structure details.</w:t>
      </w:r>
    </w:p>
    <w:p>
      <w:pPr>
        <w:pStyle w:val="ListBullet"/>
      </w:pPr>
      <w:r>
        <w:t>Next catalyst: Next quarterly earnings report (2026-05-08 (1 days))</w:t>
      </w:r>
    </w:p>
    <w:p>
      <w:pPr>
        <w:pStyle w:val="ListBullet"/>
      </w:pPr>
      <w:r>
        <w:t>Top risk: Orla generates revenue through gold production and sales with operations ramping production</w:t>
      </w:r>
    </w:p>
    <w:tbl>
      <w:tblPr>
        <w:tblW w:type="auto" w:w="0"/>
        <w:tblLook w:firstColumn="1" w:firstRow="1" w:lastColumn="0" w:lastRow="0" w:noHBand="0" w:noVBand="1" w:val="04A0"/>
      </w:tblPr>
      <w:tblGrid>
        <w:gridCol w:w="9792"/>
      </w:tblGrid>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Thin brief drivers (1 drivers / 2 components) on schema 'general'. The mechanical model and edge variant back-solve may be unreliable.</w:t>
            </w:r>
          </w:p>
        </w:tc>
      </w:tr>
    </w:tbl>
    <w:p>
      <w:pPr>
        <w:pStyle w:val="SectionHeading"/>
      </w:pPr>
      <w:r>
        <w:t>Street Consensus</w:t>
      </w:r>
    </w:p>
    <w:tbl>
      <w:tblPr>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E8EDF5"/>
            <w:tcBorders>
              <w:top w:val="single" w:sz="4" w:color="BDC3C7"/>
              <w:bottom w:val="single" w:sz="4" w:color="BDC3C7"/>
              <w:left w:val="single" w:sz="4" w:color="BDC3C7"/>
              <w:right w:val="single" w:sz="4" w:color="BDC3C7"/>
            </w:tcBorders>
          </w:tcPr>
          <w:p>
            <w:r>
              <w:rPr>
                <w:b/>
              </w:rPr>
              <w:t>Period</w:t>
            </w:r>
          </w:p>
        </w:tc>
        <w:tc>
          <w:tcPr>
            <w:tcW w:type="dxa" w:w="1399"/>
            <w:shd w:val="clear" w:color="auto" w:fill="E8EDF5"/>
            <w:tcBorders>
              <w:top w:val="single" w:sz="4" w:color="BDC3C7"/>
              <w:bottom w:val="single" w:sz="4" w:color="BDC3C7"/>
              <w:left w:val="single" w:sz="4" w:color="BDC3C7"/>
              <w:right w:val="single" w:sz="4" w:color="BDC3C7"/>
            </w:tcBorders>
          </w:tcPr>
          <w:p>
            <w:r>
              <w:rPr>
                <w:b/>
              </w:rPr>
              <w:t>EPS (mean)</w:t>
            </w:r>
          </w:p>
        </w:tc>
        <w:tc>
          <w:tcPr>
            <w:tcW w:type="dxa" w:w="1399"/>
            <w:shd w:val="clear" w:color="auto" w:fill="E8EDF5"/>
            <w:tcBorders>
              <w:top w:val="single" w:sz="4" w:color="BDC3C7"/>
              <w:bottom w:val="single" w:sz="4" w:color="BDC3C7"/>
              <w:left w:val="single" w:sz="4" w:color="BDC3C7"/>
              <w:right w:val="single" w:sz="4" w:color="BDC3C7"/>
            </w:tcBorders>
          </w:tcPr>
          <w:p>
            <w:r>
              <w:rPr>
                <w:b/>
              </w:rPr>
              <w:t>Range</w:t>
            </w:r>
          </w:p>
        </w:tc>
        <w:tc>
          <w:tcPr>
            <w:tcW w:type="dxa" w:w="1399"/>
            <w:shd w:val="clear" w:color="auto" w:fill="E8EDF5"/>
            <w:tcBorders>
              <w:top w:val="single" w:sz="4" w:color="BDC3C7"/>
              <w:bottom w:val="single" w:sz="4" w:color="BDC3C7"/>
              <w:left w:val="single" w:sz="4" w:color="BDC3C7"/>
              <w:right w:val="single" w:sz="4" w:color="BDC3C7"/>
            </w:tcBorders>
          </w:tcPr>
          <w:p>
            <w:r>
              <w:rPr>
                <w:b/>
              </w:rPr>
              <w:t>n</w:t>
            </w:r>
          </w:p>
        </w:tc>
        <w:tc>
          <w:tcPr>
            <w:tcW w:type="dxa" w:w="1399"/>
            <w:shd w:val="clear" w:color="auto" w:fill="E8EDF5"/>
            <w:tcBorders>
              <w:top w:val="single" w:sz="4" w:color="BDC3C7"/>
              <w:bottom w:val="single" w:sz="4" w:color="BDC3C7"/>
              <w:left w:val="single" w:sz="4" w:color="BDC3C7"/>
              <w:right w:val="single" w:sz="4" w:color="BDC3C7"/>
            </w:tcBorders>
          </w:tcPr>
          <w:p>
            <w:r>
              <w:rPr>
                <w:b/>
              </w:rPr>
              <w:t>YoY</w:t>
            </w:r>
          </w:p>
        </w:tc>
        <w:tc>
          <w:tcPr>
            <w:tcW w:type="dxa" w:w="1399"/>
            <w:shd w:val="clear" w:color="auto" w:fill="E8EDF5"/>
            <w:tcBorders>
              <w:top w:val="single" w:sz="4" w:color="BDC3C7"/>
              <w:bottom w:val="single" w:sz="4" w:color="BDC3C7"/>
              <w:left w:val="single" w:sz="4" w:color="BDC3C7"/>
              <w:right w:val="single" w:sz="4" w:color="BDC3C7"/>
            </w:tcBorders>
          </w:tcPr>
          <w:p>
            <w:r>
              <w:rPr>
                <w:b/>
              </w:rPr>
              <w:t>30d Δ</w:t>
            </w:r>
          </w:p>
        </w:tc>
        <w:tc>
          <w:tcPr>
            <w:tcW w:type="dxa" w:w="1399"/>
            <w:shd w:val="clear" w:color="auto" w:fill="E8EDF5"/>
            <w:tcBorders>
              <w:top w:val="single" w:sz="4" w:color="BDC3C7"/>
              <w:bottom w:val="single" w:sz="4" w:color="BDC3C7"/>
              <w:left w:val="single" w:sz="4" w:color="BDC3C7"/>
              <w:right w:val="single" w:sz="4" w:color="BDC3C7"/>
            </w:tcBorders>
          </w:tcPr>
          <w:p>
            <w:r>
              <w:rPr>
                <w:b/>
              </w:rPr>
              <w:t>Revs 30d</w:t>
            </w:r>
          </w:p>
        </w:tc>
      </w:tr>
      <w:tr>
        <w:tc>
          <w:tcPr>
            <w:tcW w:type="dxa" w:w="1399"/>
            <w:tcBorders>
              <w:top w:val="single" w:sz="4" w:color="BDC3C7"/>
              <w:bottom w:val="single" w:sz="4" w:color="BDC3C7"/>
              <w:left w:val="single" w:sz="4" w:color="BDC3C7"/>
              <w:right w:val="single" w:sz="4" w:color="BDC3C7"/>
            </w:tcBorders>
          </w:tcPr>
          <w:p>
            <w:r>
              <w:t>Current Quarter</w:t>
            </w:r>
          </w:p>
        </w:tc>
        <w:tc>
          <w:tcPr>
            <w:tcW w:type="dxa" w:w="1399"/>
            <w:tcBorders>
              <w:top w:val="single" w:sz="4" w:color="BDC3C7"/>
              <w:bottom w:val="single" w:sz="4" w:color="BDC3C7"/>
              <w:left w:val="single" w:sz="4" w:color="BDC3C7"/>
              <w:right w:val="single" w:sz="4" w:color="BDC3C7"/>
            </w:tcBorders>
          </w:tcPr>
          <w:p>
            <w:r>
              <w:t>$0.37</w:t>
            </w:r>
          </w:p>
        </w:tc>
        <w:tc>
          <w:tcPr>
            <w:tcW w:type="dxa" w:w="1399"/>
            <w:tcBorders>
              <w:top w:val="single" w:sz="4" w:color="BDC3C7"/>
              <w:bottom w:val="single" w:sz="4" w:color="BDC3C7"/>
              <w:left w:val="single" w:sz="4" w:color="BDC3C7"/>
              <w:right w:val="single" w:sz="4" w:color="BDC3C7"/>
            </w:tcBorders>
          </w:tcPr>
          <w:p>
            <w:r>
              <w:t>$0.33 – $0.45</w:t>
            </w:r>
          </w:p>
        </w:tc>
        <w:tc>
          <w:tcPr>
            <w:tcW w:type="dxa" w:w="1399"/>
            <w:tcBorders>
              <w:top w:val="single" w:sz="4" w:color="BDC3C7"/>
              <w:bottom w:val="single" w:sz="4" w:color="BDC3C7"/>
              <w:left w:val="single" w:sz="4" w:color="BDC3C7"/>
              <w:right w:val="single" w:sz="4" w:color="BDC3C7"/>
            </w:tcBorders>
          </w:tcPr>
          <w:p>
            <w:r>
              <w:t>7</w:t>
            </w:r>
          </w:p>
        </w:tc>
        <w:tc>
          <w:tcPr>
            <w:tcW w:type="dxa" w:w="1399"/>
            <w:tcBorders>
              <w:top w:val="single" w:sz="4" w:color="BDC3C7"/>
              <w:bottom w:val="single" w:sz="4" w:color="BDC3C7"/>
              <w:left w:val="single" w:sz="4" w:color="BDC3C7"/>
              <w:right w:val="single" w:sz="4" w:color="BDC3C7"/>
            </w:tcBorders>
          </w:tcPr>
          <w:p>
            <w:r>
              <w:t>—</w:t>
            </w:r>
          </w:p>
        </w:tc>
        <w:tc>
          <w:tcPr>
            <w:tcW w:type="dxa" w:w="1399"/>
            <w:tcBorders>
              <w:top w:val="single" w:sz="4" w:color="BDC3C7"/>
              <w:bottom w:val="single" w:sz="4" w:color="BDC3C7"/>
              <w:left w:val="single" w:sz="4" w:color="BDC3C7"/>
              <w:right w:val="single" w:sz="4" w:color="BDC3C7"/>
            </w:tcBorders>
          </w:tcPr>
          <w:p>
            <w:r>
              <w:t>↑ +0.059</w:t>
            </w:r>
          </w:p>
        </w:tc>
        <w:tc>
          <w:tcPr>
            <w:tcW w:type="dxa" w:w="1399"/>
            <w:tcBorders>
              <w:top w:val="single" w:sz="4" w:color="BDC3C7"/>
              <w:bottom w:val="single" w:sz="4" w:color="BDC3C7"/>
              <w:left w:val="single" w:sz="4" w:color="BDC3C7"/>
              <w:right w:val="single" w:sz="4" w:color="BDC3C7"/>
            </w:tcBorders>
          </w:tcPr>
          <w:p>
            <w:r>
              <w:t>↑3 / ↓1</w:t>
            </w:r>
          </w:p>
        </w:tc>
      </w:tr>
      <w:tr>
        <w:tc>
          <w:tcPr>
            <w:tcW w:type="dxa" w:w="1399"/>
            <w:tcBorders>
              <w:top w:val="single" w:sz="4" w:color="BDC3C7"/>
              <w:bottom w:val="single" w:sz="4" w:color="BDC3C7"/>
              <w:left w:val="single" w:sz="4" w:color="BDC3C7"/>
              <w:right w:val="single" w:sz="4" w:color="BDC3C7"/>
            </w:tcBorders>
          </w:tcPr>
          <w:p>
            <w:r>
              <w:t>Next Quarter</w:t>
            </w:r>
          </w:p>
        </w:tc>
        <w:tc>
          <w:tcPr>
            <w:tcW w:type="dxa" w:w="1399"/>
            <w:tcBorders>
              <w:top w:val="single" w:sz="4" w:color="BDC3C7"/>
              <w:bottom w:val="single" w:sz="4" w:color="BDC3C7"/>
              <w:left w:val="single" w:sz="4" w:color="BDC3C7"/>
              <w:right w:val="single" w:sz="4" w:color="BDC3C7"/>
            </w:tcBorders>
          </w:tcPr>
          <w:p>
            <w:r>
              <w:t>$0.41</w:t>
            </w:r>
          </w:p>
        </w:tc>
        <w:tc>
          <w:tcPr>
            <w:tcW w:type="dxa" w:w="1399"/>
            <w:tcBorders>
              <w:top w:val="single" w:sz="4" w:color="BDC3C7"/>
              <w:bottom w:val="single" w:sz="4" w:color="BDC3C7"/>
              <w:left w:val="single" w:sz="4" w:color="BDC3C7"/>
              <w:right w:val="single" w:sz="4" w:color="BDC3C7"/>
            </w:tcBorders>
          </w:tcPr>
          <w:p>
            <w:r>
              <w:t>$0.31 – $0.52</w:t>
            </w:r>
          </w:p>
        </w:tc>
        <w:tc>
          <w:tcPr>
            <w:tcW w:type="dxa" w:w="1399"/>
            <w:tcBorders>
              <w:top w:val="single" w:sz="4" w:color="BDC3C7"/>
              <w:bottom w:val="single" w:sz="4" w:color="BDC3C7"/>
              <w:left w:val="single" w:sz="4" w:color="BDC3C7"/>
              <w:right w:val="single" w:sz="4" w:color="BDC3C7"/>
            </w:tcBorders>
          </w:tcPr>
          <w:p>
            <w:r>
              <w:t>4</w:t>
            </w:r>
          </w:p>
        </w:tc>
        <w:tc>
          <w:tcPr>
            <w:tcW w:type="dxa" w:w="1399"/>
            <w:tcBorders>
              <w:top w:val="single" w:sz="4" w:color="BDC3C7"/>
              <w:bottom w:val="single" w:sz="4" w:color="BDC3C7"/>
              <w:left w:val="single" w:sz="4" w:color="BDC3C7"/>
              <w:right w:val="single" w:sz="4" w:color="BDC3C7"/>
            </w:tcBorders>
          </w:tcPr>
          <w:p>
            <w:r>
              <w:t>+107.3%</w:t>
            </w:r>
          </w:p>
        </w:tc>
        <w:tc>
          <w:tcPr>
            <w:tcW w:type="dxa" w:w="1399"/>
            <w:tcBorders>
              <w:top w:val="single" w:sz="4" w:color="BDC3C7"/>
              <w:bottom w:val="single" w:sz="4" w:color="BDC3C7"/>
              <w:left w:val="single" w:sz="4" w:color="BDC3C7"/>
              <w:right w:val="single" w:sz="4" w:color="BDC3C7"/>
            </w:tcBorders>
          </w:tcPr>
          <w:p>
            <w:r>
              <w:t>≈ +0.003</w:t>
            </w:r>
          </w:p>
        </w:tc>
        <w:tc>
          <w:tcPr>
            <w:tcW w:type="dxa" w:w="1399"/>
            <w:tcBorders>
              <w:top w:val="single" w:sz="4" w:color="BDC3C7"/>
              <w:bottom w:val="single" w:sz="4" w:color="BDC3C7"/>
              <w:left w:val="single" w:sz="4" w:color="BDC3C7"/>
              <w:right w:val="single" w:sz="4" w:color="BDC3C7"/>
            </w:tcBorders>
          </w:tcPr>
          <w:p>
            <w:r>
              <w:t>↑0 / ↓1</w:t>
            </w:r>
          </w:p>
        </w:tc>
      </w:tr>
      <w:tr>
        <w:tc>
          <w:tcPr>
            <w:tcW w:type="dxa" w:w="1399"/>
            <w:tcBorders>
              <w:top w:val="single" w:sz="4" w:color="BDC3C7"/>
              <w:bottom w:val="single" w:sz="4" w:color="BDC3C7"/>
              <w:left w:val="single" w:sz="4" w:color="BDC3C7"/>
              <w:right w:val="single" w:sz="4" w:color="BDC3C7"/>
            </w:tcBorders>
          </w:tcPr>
          <w:p>
            <w:r>
              <w:t>Current Fiscal Year</w:t>
            </w:r>
          </w:p>
        </w:tc>
        <w:tc>
          <w:tcPr>
            <w:tcW w:type="dxa" w:w="1399"/>
            <w:tcBorders>
              <w:top w:val="single" w:sz="4" w:color="BDC3C7"/>
              <w:bottom w:val="single" w:sz="4" w:color="BDC3C7"/>
              <w:left w:val="single" w:sz="4" w:color="BDC3C7"/>
              <w:right w:val="single" w:sz="4" w:color="BDC3C7"/>
            </w:tcBorders>
          </w:tcPr>
          <w:p>
            <w:r>
              <w:t>$1.86</w:t>
            </w:r>
          </w:p>
        </w:tc>
        <w:tc>
          <w:tcPr>
            <w:tcW w:type="dxa" w:w="1399"/>
            <w:tcBorders>
              <w:top w:val="single" w:sz="4" w:color="BDC3C7"/>
              <w:bottom w:val="single" w:sz="4" w:color="BDC3C7"/>
              <w:left w:val="single" w:sz="4" w:color="BDC3C7"/>
              <w:right w:val="single" w:sz="4" w:color="BDC3C7"/>
            </w:tcBorders>
          </w:tcPr>
          <w:p>
            <w:r>
              <w:t>$1.39 – $2.37</w:t>
            </w:r>
          </w:p>
        </w:tc>
        <w:tc>
          <w:tcPr>
            <w:tcW w:type="dxa" w:w="1399"/>
            <w:tcBorders>
              <w:top w:val="single" w:sz="4" w:color="BDC3C7"/>
              <w:bottom w:val="single" w:sz="4" w:color="BDC3C7"/>
              <w:left w:val="single" w:sz="4" w:color="BDC3C7"/>
              <w:right w:val="single" w:sz="4" w:color="BDC3C7"/>
            </w:tcBorders>
          </w:tcPr>
          <w:p>
            <w:r>
              <w:t>9</w:t>
            </w:r>
          </w:p>
        </w:tc>
        <w:tc>
          <w:tcPr>
            <w:tcW w:type="dxa" w:w="1399"/>
            <w:tcBorders>
              <w:top w:val="single" w:sz="4" w:color="BDC3C7"/>
              <w:bottom w:val="single" w:sz="4" w:color="BDC3C7"/>
              <w:left w:val="single" w:sz="4" w:color="BDC3C7"/>
              <w:right w:val="single" w:sz="4" w:color="BDC3C7"/>
            </w:tcBorders>
          </w:tcPr>
          <w:p>
            <w:r>
              <w:t>+92.0%</w:t>
            </w:r>
          </w:p>
        </w:tc>
        <w:tc>
          <w:tcPr>
            <w:tcW w:type="dxa" w:w="1399"/>
            <w:tcBorders>
              <w:top w:val="single" w:sz="4" w:color="BDC3C7"/>
              <w:bottom w:val="single" w:sz="4" w:color="BDC3C7"/>
              <w:left w:val="single" w:sz="4" w:color="BDC3C7"/>
              <w:right w:val="single" w:sz="4" w:color="BDC3C7"/>
            </w:tcBorders>
          </w:tcPr>
          <w:p>
            <w:r>
              <w:t>≈ +0.005</w:t>
            </w:r>
          </w:p>
        </w:tc>
        <w:tc>
          <w:tcPr>
            <w:tcW w:type="dxa" w:w="1399"/>
            <w:tcBorders>
              <w:top w:val="single" w:sz="4" w:color="BDC3C7"/>
              <w:bottom w:val="single" w:sz="4" w:color="BDC3C7"/>
              <w:left w:val="single" w:sz="4" w:color="BDC3C7"/>
              <w:right w:val="single" w:sz="4" w:color="BDC3C7"/>
            </w:tcBorders>
          </w:tcPr>
          <w:p>
            <w:r>
              <w:t>↑5 / ↓3</w:t>
            </w:r>
          </w:p>
        </w:tc>
      </w:tr>
      <w:tr>
        <w:tc>
          <w:tcPr>
            <w:tcW w:type="dxa" w:w="1399"/>
            <w:tcBorders>
              <w:top w:val="single" w:sz="4" w:color="BDC3C7"/>
              <w:bottom w:val="single" w:sz="4" w:color="BDC3C7"/>
              <w:left w:val="single" w:sz="4" w:color="BDC3C7"/>
              <w:right w:val="single" w:sz="4" w:color="BDC3C7"/>
            </w:tcBorders>
          </w:tcPr>
          <w:p>
            <w:r>
              <w:t>Next Fiscal Year</w:t>
            </w:r>
          </w:p>
        </w:tc>
        <w:tc>
          <w:tcPr>
            <w:tcW w:type="dxa" w:w="1399"/>
            <w:tcBorders>
              <w:top w:val="single" w:sz="4" w:color="BDC3C7"/>
              <w:bottom w:val="single" w:sz="4" w:color="BDC3C7"/>
              <w:left w:val="single" w:sz="4" w:color="BDC3C7"/>
              <w:right w:val="single" w:sz="4" w:color="BDC3C7"/>
            </w:tcBorders>
          </w:tcPr>
          <w:p>
            <w:r>
              <w:t>$1.79</w:t>
            </w:r>
          </w:p>
        </w:tc>
        <w:tc>
          <w:tcPr>
            <w:tcW w:type="dxa" w:w="1399"/>
            <w:tcBorders>
              <w:top w:val="single" w:sz="4" w:color="BDC3C7"/>
              <w:bottom w:val="single" w:sz="4" w:color="BDC3C7"/>
              <w:left w:val="single" w:sz="4" w:color="BDC3C7"/>
              <w:right w:val="single" w:sz="4" w:color="BDC3C7"/>
            </w:tcBorders>
          </w:tcPr>
          <w:p>
            <w:r>
              <w:t>$1.21 – $2.70</w:t>
            </w:r>
          </w:p>
        </w:tc>
        <w:tc>
          <w:tcPr>
            <w:tcW w:type="dxa" w:w="1399"/>
            <w:tcBorders>
              <w:top w:val="single" w:sz="4" w:color="BDC3C7"/>
              <w:bottom w:val="single" w:sz="4" w:color="BDC3C7"/>
              <w:left w:val="single" w:sz="4" w:color="BDC3C7"/>
              <w:right w:val="single" w:sz="4" w:color="BDC3C7"/>
            </w:tcBorders>
          </w:tcPr>
          <w:p>
            <w:r>
              <w:t>10</w:t>
            </w:r>
          </w:p>
        </w:tc>
        <w:tc>
          <w:tcPr>
            <w:tcW w:type="dxa" w:w="1399"/>
            <w:tcBorders>
              <w:top w:val="single" w:sz="4" w:color="BDC3C7"/>
              <w:bottom w:val="single" w:sz="4" w:color="BDC3C7"/>
              <w:left w:val="single" w:sz="4" w:color="BDC3C7"/>
              <w:right w:val="single" w:sz="4" w:color="BDC3C7"/>
            </w:tcBorders>
          </w:tcPr>
          <w:p>
            <w:r>
              <w:t>-3.6%</w:t>
            </w:r>
          </w:p>
        </w:tc>
        <w:tc>
          <w:tcPr>
            <w:tcW w:type="dxa" w:w="1399"/>
            <w:tcBorders>
              <w:top w:val="single" w:sz="4" w:color="BDC3C7"/>
              <w:bottom w:val="single" w:sz="4" w:color="BDC3C7"/>
              <w:left w:val="single" w:sz="4" w:color="BDC3C7"/>
              <w:right w:val="single" w:sz="4" w:color="BDC3C7"/>
            </w:tcBorders>
          </w:tcPr>
          <w:p>
            <w:r>
              <w:t>↑ +0.056</w:t>
            </w:r>
          </w:p>
        </w:tc>
        <w:tc>
          <w:tcPr>
            <w:tcW w:type="dxa" w:w="1399"/>
            <w:tcBorders>
              <w:top w:val="single" w:sz="4" w:color="BDC3C7"/>
              <w:bottom w:val="single" w:sz="4" w:color="BDC3C7"/>
              <w:left w:val="single" w:sz="4" w:color="BDC3C7"/>
              <w:right w:val="single" w:sz="4" w:color="BDC3C7"/>
            </w:tcBorders>
          </w:tcPr>
          <w:p>
            <w:r>
              <w:t>↑3 / ↓2</w:t>
            </w:r>
          </w:p>
        </w:tc>
      </w:tr>
    </w:tbl>
    <w:p>
      <w:r>
        <w:t>Revenue consensus: Q $0.35B  |  Q+1 $0.39B  |  FY $1.70B (+60.7%)  |  FY+1 $1.68B (-1.1%)</w:t>
      </w:r>
    </w:p>
    <w:p>
      <w:r>
        <w:t>Price targets: Mean $21.80  |  Median $21.80  |  Range $21.80–$21.80  |  Current $15.03 (+45.0% to mean)</w:t>
      </w:r>
    </w:p>
    <w:p>
      <w:r>
        <w:t>Analyst ratings (n=11): Strong Buy 6 · Buy 4 · Hold 1 · Sell 0 · Strong Sell 0  ·  91% bullish</w:t>
      </w:r>
    </w:p>
    <w:p>
      <w:r>
        <w:t>Next earnings: 2026-05-08 (0d out)  ·  EPS $0.37 ($0.33–$0.45)  ·  Rev $0.35B</w:t>
      </w:r>
    </w:p>
    <w:p>
      <w:pPr>
        <w:pStyle w:val="SectionHeading"/>
      </w:pPr>
      <w:r>
        <w:t>1. Research Synthesis</w:t>
      </w:r>
    </w:p>
    <w:p>
      <w:r>
        <w:t>Orla Mining presents a complex analytical challenge given the limited granular operational data available in the corpus, yet several key themes emerge from the available evidence that warrant careful examination. The company's FY2025 financial structure reveals both the promise and complexity of its multi-mine operation, with revenue of $1,075.5M generating a robust 48.7% gross margin but ultimately delivering only $108.7M in net income due to a punitive 59.1% tax rate and $151.8M in depreciation and amortization.</w:t>
      </w:r>
    </w:p>
    <w:p>
      <w:r>
        <w:t>The most striking aspect of Orla's financial profile is the dramatic tax burden, which appears elevated relative to typical mining operations. This 59.1% effective rate on $467.4M in operating income suggests either significant non-deductible expenses, unfavorable jurisdictional tax treatment, or potential optimization opportunities that management hasn't fully captured. The company's operations span Mexico (Camino Rojo) and Canada (Musselwhite), creating a complex tax structure that may not be fully optimized. Recent news from April 2026 indicates the company secured a key Camino Rojo permit, which could potentially alter the tax treatment of that operation going forward.</w:t>
      </w:r>
    </w:p>
    <w:p>
      <w:pPr>
        <w:pStyle w:val="PullQuote"/>
      </w:pPr>
      <w:r>
        <w:t>Counter: the analyst claims No clear edge identified with estimates close to consensus — but This admission of no edge combined with serious operational red flags (production slips, zero EPS despite high revenue) makes this a consensus-following position into a deteriorating situation - classic value trap setup</w:t>
      </w:r>
    </w:p>
    <w:p>
      <w:pPr>
        <w:pStyle w:val="ListBullet"/>
      </w:pPr>
      <w:r>
        <w:rPr>
          <w:i/>
        </w:rPr>
        <w:t>→ Research [UPDATES]: Permit was received March 18, 2026, not April 2026. Orla announced the environmental impact assessment (MIA) approval on March 18, 2026, with news coverage and Q1 reporting in April 2026 referencing the March permit. (orlamining.com)</w:t>
      </w:r>
    </w:p>
    <w:p>
      <w:r>
        <w:t>From an operational perspective, the April 13, 2026 news indicates Orla remains 'on track to meet full year gold production guidance of 340,000-360,000 ounces,' which provides some confidence in the production ramp execution. However, the same period saw the stock decline 9.0% despite this positive operational update, suggesting either market skepticism about cost inflation or concerns about the sustainability of current production levels. The Q1 2026 production data mentioned in news reports showed some quarterly volatility, though management maintained full-year guidance.</w:t>
      </w:r>
    </w:p>
    <w:p>
      <w:r>
        <w:t>The consensus revenue projection of $1,700M for FY2026 represents a 60.7% year-over-year increase from the $1,075.5M FY2025 base, which appears aggressive given the operational complexity of ramping multiple mines simultaneously. This revenue assumption likely incorporates both higher production volumes (toward the upper end of the 340,000-360,000 ounce guidance range) and sustained elevated gold prices. However, the cost structure presents challenges - the FY2025 cost of revenue at 51.3% of sales suggests limited operating leverage, meaning revenue growth may not flow through proportionally to margins if input cost inflation persists.</w:t>
      </w:r>
    </w:p>
    <w:p>
      <w:r>
        <w:t>The D&amp;A burden of $151.8M (14.1% of revenue) reflects the capital-intensive nature of mining operations and suggests significant ongoing capital requirements to maintain production levels. This heavy depreciation load, combined with $44.1M in net interest expense, indicates a leveraged capital structure that could pressure cash generation if production targets aren't met or gold prices decline from current elevated levels.</w:t>
      </w:r>
    </w:p>
    <w:p>
      <w:pPr>
        <w:pStyle w:val="ListBullet"/>
      </w:pPr>
      <w:r>
        <w:rPr>
          <w:i/>
        </w:rPr>
        <w:t>→ Research: Orla Mining's debt structure has materially changed since the $44.1M interest expense reference period. As of Q4 2025, the company holds $385.0M in debt (primarily convertible notes and credit facilities from the Musselwhite acquisition), with net cash of $35.8M. The company was debt-free in Q4 2024 but incurred new debt to fund the $810M Musselwhite acquisition in February 2025. (orlamining.com)</w:t>
      </w:r>
    </w:p>
    <w:p>
      <w:r>
        <w:t>Institutional positioning appears mixed based on the available 13F data, with FMR LLC and Fairfax Financial Holdings maintaining significant passive positions (Fairfax at 16.20% of the class), suggesting some institutional confidence in the long-term story. However, the recent Tudor Investment Corp acquisition of 71,870 shares valued at approximately $776,000 represents relatively modest new institutional interest relative to the company's scale.</w:t>
      </w:r>
    </w:p>
    <w:p>
      <w:pPr>
        <w:pStyle w:val="ListBullet"/>
      </w:pPr>
      <w:r>
        <w:rPr>
          <w:i/>
        </w:rPr>
        <w:t>→ Research [UPDATES]: Claim references 16.20% ownership from February 2024 transaction. Current position (as of December 2025) is 20.3% on a fully-diluted basis (including convertible notes and warrants), or 9.4% on non-diluted basis after recent share sale. (stocktitan.net)</w:t>
      </w:r>
    </w:p>
    <w:p>
      <w:pPr>
        <w:pStyle w:val="ListBullet"/>
      </w:pPr>
      <w:r>
        <w:rPr>
          <w:i/>
        </w:rPr>
        <w:t>→ Research confirms: Search results directly verify Tudor Investment Corp acquired 71,870 shares of Orla Mining valued at approximately $776,000 in Q3 2025 per 13F filing. (marketbeat.com)</w:t>
      </w:r>
    </w:p>
    <w:p>
      <w:r>
        <w:t>The retail sentiment analysis reveals concerning technical deterioration, with multiple StockTwits users noting downtrend signals and RSI readings suggesting potential near-term pressure. While retail sentiment shouldn't drive investment decisions, the technical weakness amid operational progress suggests either valuation concerns or skepticism about the sustainability of current gold price levels supporting the business model.</w:t>
      </w:r>
    </w:p>
    <w:p>
      <w:pPr>
        <w:pStyle w:val="ListBullet"/>
      </w:pPr>
      <w:r>
        <w:rPr>
          <w:i/>
        </w:rPr>
        <w:t>→ Research: Recent insider trading shows net selling activity by executives (Cormier, Robitaille, Schmidt) with no insider buying in past 18 months, suggesting cautious sentiment during operational ramp. Company achieved record $133M free cash flow in 2025 and doubled gold production via Musselwhite acquisition. (gurufocus.com)</w:t>
      </w:r>
    </w:p>
    <w:p>
      <w:r>
        <w:t>Looking at the forward consensus expectations, the street's FY2026 EPS estimate of $1.86 (representing 92.0% year-over-year growth) appears to assume significant margin expansion beyond the current operational profile. Given the FY2025 net income of $108.7M on $1,075.5M revenue (10.1% net margin), achieving the implied FY2026 earnings would require either substantial operating leverage, tax optimization, or both. The consensus appears to be betting on operational scale benefits and potentially improved tax efficiency as the Camino Rojo operation matures.</w:t>
      </w:r>
    </w:p>
    <w:p>
      <w:r>
        <w:t>The bear case centers on execution risk in the multi-mine ramp, potential cost inflation in mining operations (labor, energy, consumables), and the sustainability of current gold price assumptions embedded in revenue projections. The FY2027 consensus showing flat revenue growth (-1.1%) and declining EPS (-3.6%) suggests the street views FY2026 as a peak year, which raises questions about the durability of the operational improvements being modeled.</w:t>
      </w:r>
    </w:p>
    <w:p>
      <w:pPr>
        <w:pStyle w:val="ListBullet"/>
      </w:pPr>
      <w:r>
        <w:rPr>
          <w:i/>
        </w:rPr>
        <w:t>→ Research: Search results identify specific input cost pressures on Orla Mining: rising energy costs (6.25% fuel cost increase projected for 2026), labor costs, and cyanide/reagent pricing volatility. Mexico's silver AISC faces only 0.8% inflation vs. global 3.8%, but heap-leach operations depend on reagent supply stability. (spglobal.com)</w:t>
      </w:r>
    </w:p>
    <w:p>
      <w:r>
        <w:t>Without access to detailed quarterly operational metrics, mine-by-mine cost breakdowns, or specific management guidance on tax optimization initiatives, building a differentiated view requires significant extrapolation from limited data points. The consensus appears reasonably positioned given the available information, though there may be upside optionality if management successfully optimizes the tax structure or achieves better-than-expected operational synergies across the mine portfolio.</w:t>
      </w:r>
    </w:p>
    <w:p>
      <w:pPr>
        <w:pStyle w:val="SubHeading"/>
      </w:pPr>
      <w:r>
        <w:t>Published anchors (reference):</w:t>
      </w:r>
    </w:p>
    <w:tbl>
      <w:tblPr>
        <w:tblW w:type="auto" w:w="0"/>
        <w:tblLook w:firstColumn="1" w:firstRow="1" w:lastColumn="0" w:lastRow="0" w:noHBand="0" w:noVBand="1" w:val="04A0"/>
      </w:tblPr>
      <w:tblGrid>
        <w:gridCol w:w="3264"/>
        <w:gridCol w:w="3264"/>
        <w:gridCol w:w="3264"/>
      </w:tblGrid>
      <w:tr>
        <w:tc>
          <w:tcPr>
            <w:tcW w:type="dxa" w:w="3264"/>
            <w:shd w:val="clear" w:color="auto" w:fill="E8EDF5"/>
            <w:tcBorders>
              <w:top w:val="single" w:sz="4" w:color="BDC3C7"/>
              <w:bottom w:val="single" w:sz="4" w:color="BDC3C7"/>
              <w:left w:val="single" w:sz="4" w:color="BDC3C7"/>
              <w:right w:val="single" w:sz="4" w:color="BDC3C7"/>
            </w:tcBorders>
          </w:tcPr>
          <w:p>
            <w:r>
              <w:rPr>
                <w:b/>
              </w:rPr>
              <w:t>Period</w:t>
            </w:r>
          </w:p>
        </w:tc>
        <w:tc>
          <w:tcPr>
            <w:tcW w:type="dxa" w:w="3264"/>
            <w:shd w:val="clear" w:color="auto" w:fill="E8EDF5"/>
            <w:tcBorders>
              <w:top w:val="single" w:sz="4" w:color="BDC3C7"/>
              <w:bottom w:val="single" w:sz="4" w:color="BDC3C7"/>
              <w:left w:val="single" w:sz="4" w:color="BDC3C7"/>
              <w:right w:val="single" w:sz="4" w:color="BDC3C7"/>
            </w:tcBorders>
          </w:tcPr>
          <w:p>
            <w:r>
              <w:rPr>
                <w:b/>
              </w:rPr>
              <w:t>EPS</w:t>
            </w:r>
          </w:p>
        </w:tc>
        <w:tc>
          <w:tcPr>
            <w:tcW w:type="dxa" w:w="3264"/>
            <w:shd w:val="clear" w:color="auto" w:fill="E8EDF5"/>
            <w:tcBorders>
              <w:top w:val="single" w:sz="4" w:color="BDC3C7"/>
              <w:bottom w:val="single" w:sz="4" w:color="BDC3C7"/>
              <w:left w:val="single" w:sz="4" w:color="BDC3C7"/>
              <w:right w:val="single" w:sz="4" w:color="BDC3C7"/>
            </w:tcBorders>
          </w:tcPr>
          <w:p>
            <w:r>
              <w:rPr>
                <w:b/>
              </w:rPr>
              <w:t>Revenue</w:t>
            </w:r>
          </w:p>
        </w:tc>
      </w:tr>
      <w:tr>
        <w:tc>
          <w:tcPr>
            <w:tcW w:type="dxa" w:w="3264"/>
            <w:tcBorders>
              <w:top w:val="single" w:sz="4" w:color="BDC3C7"/>
              <w:bottom w:val="single" w:sz="4" w:color="BDC3C7"/>
              <w:left w:val="single" w:sz="4" w:color="BDC3C7"/>
              <w:right w:val="single" w:sz="4" w:color="BDC3C7"/>
            </w:tcBorders>
          </w:tcPr>
          <w:p>
            <w:r>
              <w:t>Current Q</w:t>
            </w:r>
          </w:p>
        </w:tc>
        <w:tc>
          <w:tcPr>
            <w:tcW w:type="dxa" w:w="3264"/>
            <w:tcBorders>
              <w:top w:val="single" w:sz="4" w:color="BDC3C7"/>
              <w:bottom w:val="single" w:sz="4" w:color="BDC3C7"/>
              <w:left w:val="single" w:sz="4" w:color="BDC3C7"/>
              <w:right w:val="single" w:sz="4" w:color="BDC3C7"/>
            </w:tcBorders>
          </w:tcPr>
          <w:p>
            <w:r>
              <w:t>$0.37</w:t>
            </w:r>
          </w:p>
        </w:tc>
        <w:tc>
          <w:tcPr>
            <w:tcW w:type="dxa" w:w="3264"/>
            <w:tcBorders>
              <w:top w:val="single" w:sz="4" w:color="BDC3C7"/>
              <w:bottom w:val="single" w:sz="4" w:color="BDC3C7"/>
              <w:left w:val="single" w:sz="4" w:color="BDC3C7"/>
              <w:right w:val="single" w:sz="4" w:color="BDC3C7"/>
            </w:tcBorders>
          </w:tcPr>
          <w:p>
            <w:r>
              <w:t>$354M</w:t>
            </w:r>
          </w:p>
        </w:tc>
      </w:tr>
      <w:tr>
        <w:tc>
          <w:tcPr>
            <w:tcW w:type="dxa" w:w="3264"/>
            <w:tcBorders>
              <w:top w:val="single" w:sz="4" w:color="BDC3C7"/>
              <w:bottom w:val="single" w:sz="4" w:color="BDC3C7"/>
              <w:left w:val="single" w:sz="4" w:color="BDC3C7"/>
              <w:right w:val="single" w:sz="4" w:color="BDC3C7"/>
            </w:tcBorders>
          </w:tcPr>
          <w:p>
            <w:r>
              <w:t>Next Q</w:t>
            </w:r>
          </w:p>
        </w:tc>
        <w:tc>
          <w:tcPr>
            <w:tcW w:type="dxa" w:w="3264"/>
            <w:tcBorders>
              <w:top w:val="single" w:sz="4" w:color="BDC3C7"/>
              <w:bottom w:val="single" w:sz="4" w:color="BDC3C7"/>
              <w:left w:val="single" w:sz="4" w:color="BDC3C7"/>
              <w:right w:val="single" w:sz="4" w:color="BDC3C7"/>
            </w:tcBorders>
          </w:tcPr>
          <w:p>
            <w:r>
              <w:t>$0.41</w:t>
            </w:r>
          </w:p>
        </w:tc>
        <w:tc>
          <w:tcPr>
            <w:tcW w:type="dxa" w:w="3264"/>
            <w:tcBorders>
              <w:top w:val="single" w:sz="4" w:color="BDC3C7"/>
              <w:bottom w:val="single" w:sz="4" w:color="BDC3C7"/>
              <w:left w:val="single" w:sz="4" w:color="BDC3C7"/>
              <w:right w:val="single" w:sz="4" w:color="BDC3C7"/>
            </w:tcBorders>
          </w:tcPr>
          <w:p>
            <w:r>
              <w:t>$392M</w:t>
            </w:r>
          </w:p>
        </w:tc>
      </w:tr>
      <w:tr>
        <w:tc>
          <w:tcPr>
            <w:tcW w:type="dxa" w:w="3264"/>
            <w:tcBorders>
              <w:top w:val="single" w:sz="4" w:color="BDC3C7"/>
              <w:bottom w:val="single" w:sz="4" w:color="BDC3C7"/>
              <w:left w:val="single" w:sz="4" w:color="BDC3C7"/>
              <w:right w:val="single" w:sz="4" w:color="BDC3C7"/>
            </w:tcBorders>
          </w:tcPr>
          <w:p>
            <w:r>
              <w:t>Current FY</w:t>
            </w:r>
          </w:p>
        </w:tc>
        <w:tc>
          <w:tcPr>
            <w:tcW w:type="dxa" w:w="3264"/>
            <w:tcBorders>
              <w:top w:val="single" w:sz="4" w:color="BDC3C7"/>
              <w:bottom w:val="single" w:sz="4" w:color="BDC3C7"/>
              <w:left w:val="single" w:sz="4" w:color="BDC3C7"/>
              <w:right w:val="single" w:sz="4" w:color="BDC3C7"/>
            </w:tcBorders>
          </w:tcPr>
          <w:p>
            <w:r>
              <w:t>$1.86</w:t>
            </w:r>
          </w:p>
        </w:tc>
        <w:tc>
          <w:tcPr>
            <w:tcW w:type="dxa" w:w="3264"/>
            <w:tcBorders>
              <w:top w:val="single" w:sz="4" w:color="BDC3C7"/>
              <w:bottom w:val="single" w:sz="4" w:color="BDC3C7"/>
              <w:left w:val="single" w:sz="4" w:color="BDC3C7"/>
              <w:right w:val="single" w:sz="4" w:color="BDC3C7"/>
            </w:tcBorders>
          </w:tcPr>
          <w:p>
            <w:r>
              <w:t>$1,700M</w:t>
            </w:r>
          </w:p>
        </w:tc>
      </w:tr>
      <w:tr>
        <w:tc>
          <w:tcPr>
            <w:tcW w:type="dxa" w:w="3264"/>
            <w:tcBorders>
              <w:top w:val="single" w:sz="4" w:color="BDC3C7"/>
              <w:bottom w:val="single" w:sz="4" w:color="BDC3C7"/>
              <w:left w:val="single" w:sz="4" w:color="BDC3C7"/>
              <w:right w:val="single" w:sz="4" w:color="BDC3C7"/>
            </w:tcBorders>
          </w:tcPr>
          <w:p>
            <w:r>
              <w:t>Next FY</w:t>
            </w:r>
          </w:p>
        </w:tc>
        <w:tc>
          <w:tcPr>
            <w:tcW w:type="dxa" w:w="3264"/>
            <w:tcBorders>
              <w:top w:val="single" w:sz="4" w:color="BDC3C7"/>
              <w:bottom w:val="single" w:sz="4" w:color="BDC3C7"/>
              <w:left w:val="single" w:sz="4" w:color="BDC3C7"/>
              <w:right w:val="single" w:sz="4" w:color="BDC3C7"/>
            </w:tcBorders>
          </w:tcPr>
          <w:p>
            <w:r>
              <w:t>$1.79</w:t>
            </w:r>
          </w:p>
        </w:tc>
        <w:tc>
          <w:tcPr>
            <w:tcW w:type="dxa" w:w="3264"/>
            <w:tcBorders>
              <w:top w:val="single" w:sz="4" w:color="BDC3C7"/>
              <w:bottom w:val="single" w:sz="4" w:color="BDC3C7"/>
              <w:left w:val="single" w:sz="4" w:color="BDC3C7"/>
              <w:right w:val="single" w:sz="4" w:color="BDC3C7"/>
            </w:tcBorders>
          </w:tcPr>
          <w:p>
            <w:r>
              <w:t>$1,682M</w:t>
            </w:r>
          </w:p>
        </w:tc>
      </w:tr>
    </w:tbl>
    <w:p>
      <w:pPr>
        <w:pStyle w:val="SectionHeading"/>
      </w:pPr>
      <w:r>
        <w:t>2. Drivers</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2448"/>
            <w:shd w:val="clear" w:color="auto" w:fill="E8EDF5"/>
            <w:tcBorders>
              <w:top w:val="single" w:sz="4" w:color="BDC3C7"/>
              <w:bottom w:val="single" w:sz="4" w:color="BDC3C7"/>
              <w:left w:val="single" w:sz="4" w:color="BDC3C7"/>
              <w:right w:val="single" w:sz="4" w:color="BDC3C7"/>
            </w:tcBorders>
          </w:tcPr>
          <w:p>
            <w:r>
              <w:rPr>
                <w:b/>
              </w:rPr>
              <w:t>Value</w:t>
            </w:r>
          </w:p>
        </w:tc>
        <w:tc>
          <w:tcPr>
            <w:tcW w:type="dxa" w:w="2448"/>
            <w:shd w:val="clear" w:color="auto" w:fill="E8EDF5"/>
            <w:tcBorders>
              <w:top w:val="single" w:sz="4" w:color="BDC3C7"/>
              <w:bottom w:val="single" w:sz="4" w:color="BDC3C7"/>
              <w:left w:val="single" w:sz="4" w:color="BDC3C7"/>
              <w:right w:val="single" w:sz="4" w:color="BDC3C7"/>
            </w:tcBorders>
          </w:tcPr>
          <w:p>
            <w:r>
              <w:rPr>
                <w:b/>
              </w:rPr>
              <w:t>Conf.</w:t>
            </w:r>
          </w:p>
        </w:tc>
        <w:tc>
          <w:tcPr>
            <w:tcW w:type="dxa" w:w="244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2448"/>
            <w:tcBorders>
              <w:top w:val="single" w:sz="4" w:color="BDC3C7"/>
              <w:bottom w:val="single" w:sz="4" w:color="BDC3C7"/>
              <w:left w:val="single" w:sz="4" w:color="BDC3C7"/>
              <w:right w:val="single" w:sz="4" w:color="BDC3C7"/>
            </w:tcBorders>
          </w:tcPr>
          <w:p>
            <w:r>
              <w:rPr>
                <w:b/>
              </w:rPr>
              <w:t>revenue_growth</w:t>
            </w:r>
          </w:p>
        </w:tc>
        <w:tc>
          <w:tcPr>
            <w:tcW w:type="dxa" w:w="2448"/>
            <w:tcBorders>
              <w:top w:val="single" w:sz="4" w:color="BDC3C7"/>
              <w:bottom w:val="single" w:sz="4" w:color="BDC3C7"/>
              <w:left w:val="single" w:sz="4" w:color="BDC3C7"/>
              <w:right w:val="single" w:sz="4" w:color="BDC3C7"/>
            </w:tcBorders>
          </w:tcPr>
          <w:p>
            <w:r>
              <w:rPr>
                <w:b/>
              </w:rPr>
              <w:t>+37.00%</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production_volume_growth</w:t>
            </w:r>
          </w:p>
        </w:tc>
        <w:tc>
          <w:tcPr>
            <w:tcW w:type="dxa" w:w="2448"/>
            <w:tcBorders>
              <w:top w:val="single" w:sz="4" w:color="BDC3C7"/>
              <w:bottom w:val="single" w:sz="4" w:color="BDC3C7"/>
              <w:left w:val="single" w:sz="4" w:color="BDC3C7"/>
              <w:right w:val="single" w:sz="4" w:color="BDC3C7"/>
            </w:tcBorders>
          </w:tcPr>
          <w:p>
            <w:r>
              <w:t>+27.00%</w:t>
            </w:r>
          </w:p>
        </w:tc>
        <w:tc>
          <w:tcPr>
            <w:tcW w:type="dxa" w:w="2448"/>
            <w:tcBorders>
              <w:top w:val="single" w:sz="4" w:color="BDC3C7"/>
              <w:bottom w:val="single" w:sz="4" w:color="BDC3C7"/>
              <w:left w:val="single" w:sz="4" w:color="BDC3C7"/>
              <w:right w:val="single" w:sz="4" w:color="BDC3C7"/>
            </w:tcBorders>
          </w:tcPr>
          <w:p>
            <w:r>
              <w:t>0.60</w:t>
            </w:r>
          </w:p>
        </w:tc>
        <w:tc>
          <w:tcPr>
            <w:tcW w:type="dxa" w:w="2448"/>
            <w:tcBorders>
              <w:top w:val="single" w:sz="4" w:color="BDC3C7"/>
              <w:bottom w:val="single" w:sz="4" w:color="BDC3C7"/>
              <w:left w:val="single" w:sz="4" w:color="BDC3C7"/>
              <w:right w:val="single" w:sz="4" w:color="BDC3C7"/>
            </w:tcBorders>
          </w:tcPr>
          <w:p>
            <w:r>
              <w:t>Management reaffirmed 2026 production guidance of 340,000-360,000 ounces in April 2026 news reports, representing significant increase from implied 2025 levels. Recent news on April 13, 2026 stated company remains 'on tr</w:t>
            </w:r>
          </w:p>
        </w:tc>
      </w:tr>
      <w:tr>
        <w:tc>
          <w:tcPr>
            <w:tcW w:type="dxa" w:w="2448"/>
            <w:tcBorders>
              <w:top w:val="single" w:sz="4" w:color="BDC3C7"/>
              <w:bottom w:val="single" w:sz="4" w:color="BDC3C7"/>
              <w:left w:val="single" w:sz="4" w:color="BDC3C7"/>
              <w:right w:val="single" w:sz="4" w:color="BDC3C7"/>
            </w:tcBorders>
          </w:tcPr>
          <w:p>
            <w:r>
              <w:t xml:space="preserve">    gold_price_assumption</w:t>
            </w:r>
          </w:p>
        </w:tc>
        <w:tc>
          <w:tcPr>
            <w:tcW w:type="dxa" w:w="2448"/>
            <w:tcBorders>
              <w:top w:val="single" w:sz="4" w:color="BDC3C7"/>
              <w:bottom w:val="single" w:sz="4" w:color="BDC3C7"/>
              <w:left w:val="single" w:sz="4" w:color="BDC3C7"/>
              <w:right w:val="single" w:sz="4" w:color="BDC3C7"/>
            </w:tcBorders>
          </w:tcPr>
          <w:p>
            <w:r>
              <w:t>+10.00%</w:t>
            </w:r>
          </w:p>
        </w:tc>
        <w:tc>
          <w:tcPr>
            <w:tcW w:type="dxa" w:w="2448"/>
            <w:tcBorders>
              <w:top w:val="single" w:sz="4" w:color="BDC3C7"/>
              <w:bottom w:val="single" w:sz="4" w:color="BDC3C7"/>
              <w:left w:val="single" w:sz="4" w:color="BDC3C7"/>
              <w:right w:val="single" w:sz="4" w:color="BDC3C7"/>
            </w:tcBorders>
          </w:tcPr>
          <w:p>
            <w:r>
              <w:t>0.45</w:t>
            </w:r>
          </w:p>
        </w:tc>
        <w:tc>
          <w:tcPr>
            <w:tcW w:type="dxa" w:w="2448"/>
            <w:tcBorders>
              <w:top w:val="single" w:sz="4" w:color="BDC3C7"/>
              <w:bottom w:val="single" w:sz="4" w:color="BDC3C7"/>
              <w:left w:val="single" w:sz="4" w:color="BDC3C7"/>
              <w:right w:val="single" w:sz="4" w:color="BDC3C7"/>
            </w:tcBorders>
          </w:tcPr>
          <w:p>
            <w:r>
              <w:t>Consensus revenue growth of 60.7% implies sustained elevated gold prices above 2025 levels. Current gold market dynamics support higher pricing, but commodity price forecasting carries inherent uncertainty. No specific r</w:t>
            </w:r>
          </w:p>
        </w:tc>
      </w:tr>
    </w:tbl>
    <w:p>
      <w:pPr>
        <w:pStyle w:val="SubHeading"/>
      </w:pPr>
      <w:r>
        <w:t>Bear revisions:</w:t>
      </w:r>
    </w:p>
    <w:p>
      <w:pPr>
        <w:pStyle w:val="ListBullet"/>
      </w:pPr>
      <w:r>
        <w:t>revenue_growth.production_volume_growth: 45.0 → 25.0 — Multi-mine operational complexity could lead to production shortfalls, particularly if cost inflation pressures operational efficiency or if permitting/regulatory issues emerge at either Camino Rojo or Musselwhite operations.</w:t>
      </w:r>
    </w:p>
    <w:p>
      <w:pPr>
        <w:pStyle w:val="SubHeading"/>
      </w:pPr>
      <w:r>
        <w:t>Comp decomposition check:</w:t>
      </w:r>
    </w:p>
    <w:p>
      <w:pPr>
        <w:pStyle w:val="ListBullet"/>
      </w:pPr>
      <w:r>
        <w:t>Thin brief drivers (1 drivers / 2 components) on schema 'general'. The mechanical model and edge variant back-solve may be unreliable.</w:t>
      </w:r>
    </w:p>
    <w:p>
      <w:pPr>
        <w:pStyle w:val="ListBullet"/>
      </w:pPr>
      <w:r>
        <w:rPr>
          <w:i/>
        </w:rPr>
        <w:t>→ Research confirms: Orla Mining's Q1 2026 operational update confirms the company remains on track to meet full year gold production guidance of 340,000–360,000 ounces, as stated in the brief. (newswire.ca)</w:t>
      </w:r>
    </w:p>
    <w:p>
      <w:pPr>
        <w:pStyle w:val="PullQuote"/>
      </w:pPr>
      <w:r>
        <w:t>Counter: the analyst claims 45% production volume growth driving returns — but Recent Q1 production slip directly contradicts this core assumption, and the $0 EPS despite $1B revenue suggests structural cost problems that make volume growth potentially value-destructive rather than accretive</w:t>
      </w:r>
    </w:p>
    <w:p>
      <w:pPr>
        <w:pStyle w:val="SectionHeading"/>
      </w:pPr>
      <w:r>
        <w:t>3. Consensus Gap &amp; Valuation</w:t>
      </w:r>
    </w:p>
    <w:p>
      <w:r>
        <w:t>Our EPS: $1.86  =  baseline $1.86  +  Σ claim impacts $+0.00 (0.0% below consensus $1.86)</w:t>
      </w:r>
    </w:p>
    <w:p>
      <w:pPr>
        <w:pStyle w:val="SubHeading"/>
      </w:pPr>
      <w:r>
        <w:t>EPS Bridge (consensus baseline + flow-through):</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Line</w:t>
            </w:r>
          </w:p>
        </w:tc>
        <w:tc>
          <w:tcPr>
            <w:tcW w:type="dxa" w:w="2448"/>
            <w:shd w:val="clear" w:color="auto" w:fill="E8EDF5"/>
            <w:tcBorders>
              <w:top w:val="single" w:sz="4" w:color="BDC3C7"/>
              <w:bottom w:val="single" w:sz="4" w:color="BDC3C7"/>
              <w:left w:val="single" w:sz="4" w:color="BDC3C7"/>
              <w:right w:val="single" w:sz="4" w:color="BDC3C7"/>
            </w:tcBorders>
          </w:tcPr>
          <w:p>
            <w:r>
              <w:rPr>
                <w:b/>
              </w:rPr>
              <w:t>Anchor / Δ</w:t>
            </w:r>
          </w:p>
        </w:tc>
        <w:tc>
          <w:tcPr>
            <w:tcW w:type="dxa" w:w="2448"/>
            <w:shd w:val="clear" w:color="auto" w:fill="E8EDF5"/>
            <w:tcBorders>
              <w:top w:val="single" w:sz="4" w:color="BDC3C7"/>
              <w:bottom w:val="single" w:sz="4" w:color="BDC3C7"/>
              <w:left w:val="single" w:sz="4" w:color="BDC3C7"/>
              <w:right w:val="single" w:sz="4" w:color="BDC3C7"/>
            </w:tcBorders>
          </w:tcPr>
          <w:p>
            <w:r>
              <w:rPr>
                <w:b/>
              </w:rPr>
              <w:t>Flow-through</w:t>
            </w:r>
          </w:p>
        </w:tc>
        <w:tc>
          <w:tcPr>
            <w:tcW w:type="dxa" w:w="2448"/>
            <w:shd w:val="clear" w:color="auto" w:fill="E8EDF5"/>
            <w:tcBorders>
              <w:top w:val="single" w:sz="4" w:color="BDC3C7"/>
              <w:bottom w:val="single" w:sz="4" w:color="BDC3C7"/>
              <w:left w:val="single" w:sz="4" w:color="BDC3C7"/>
              <w:right w:val="single" w:sz="4" w:color="BDC3C7"/>
            </w:tcBorders>
          </w:tcPr>
          <w:p>
            <w:r>
              <w:rPr>
                <w:b/>
              </w:rPr>
              <w:t>EPS impact</w:t>
            </w:r>
          </w:p>
        </w:tc>
      </w:tr>
      <w:tr>
        <w:tc>
          <w:tcPr>
            <w:tcW w:type="dxa" w:w="2448"/>
            <w:tcBorders>
              <w:top w:val="single" w:sz="4" w:color="BDC3C7"/>
              <w:bottom w:val="single" w:sz="4" w:color="BDC3C7"/>
              <w:left w:val="single" w:sz="4" w:color="BDC3C7"/>
              <w:right w:val="single" w:sz="4" w:color="BDC3C7"/>
            </w:tcBorders>
          </w:tcPr>
          <w:p>
            <w:r>
              <w:rPr>
                <w:b/>
              </w:rPr>
              <w:t>Baseline</w:t>
            </w:r>
          </w:p>
        </w:tc>
        <w:tc>
          <w:tcPr>
            <w:tcW w:type="dxa" w:w="2448"/>
            <w:tcBorders>
              <w:top w:val="single" w:sz="4" w:color="BDC3C7"/>
              <w:bottom w:val="single" w:sz="4" w:color="BDC3C7"/>
              <w:left w:val="single" w:sz="4" w:color="BDC3C7"/>
              <w:right w:val="single" w:sz="4" w:color="BDC3C7"/>
            </w:tcBorders>
          </w:tcPr>
          <w:p>
            <w:r>
              <w:rPr>
                <w:b/>
              </w:rPr>
              <w:t>Revenue: FY consensus revenue; EPS: FY consensus EPS</w:t>
            </w:r>
          </w:p>
        </w:tc>
        <w:tc>
          <w:tcPr>
            <w:tcW w:type="dxa" w:w="2448"/>
            <w:tcBorders>
              <w:top w:val="single" w:sz="4" w:color="BDC3C7"/>
              <w:bottom w:val="single" w:sz="4" w:color="BDC3C7"/>
              <w:left w:val="single" w:sz="4" w:color="BDC3C7"/>
              <w:right w:val="single" w:sz="4" w:color="BDC3C7"/>
            </w:tcBorders>
          </w:tcPr>
          <w:p>
            <w:r>
              <w:rPr>
                <w:b/>
              </w:rPr>
              <w:t>—</w:t>
            </w:r>
          </w:p>
        </w:tc>
        <w:tc>
          <w:tcPr>
            <w:tcW w:type="dxa" w:w="2448"/>
            <w:tcBorders>
              <w:top w:val="single" w:sz="4" w:color="BDC3C7"/>
              <w:bottom w:val="single" w:sz="4" w:color="BDC3C7"/>
              <w:left w:val="single" w:sz="4" w:color="BDC3C7"/>
              <w:right w:val="single" w:sz="4" w:color="BDC3C7"/>
            </w:tcBorders>
          </w:tcPr>
          <w:p>
            <w:r>
              <w:rPr>
                <w:b/>
              </w:rPr>
              <w:t>$1.86</w:t>
            </w:r>
          </w:p>
        </w:tc>
      </w:tr>
      <w:tr>
        <w:tc>
          <w:tcPr>
            <w:tcW w:type="dxa" w:w="2448"/>
            <w:shd w:val="clear" w:color="auto" w:fill="E8EDF5"/>
            <w:tcBorders>
              <w:top w:val="single" w:sz="4" w:color="BDC3C7"/>
              <w:bottom w:val="single" w:sz="4" w:color="BDC3C7"/>
              <w:left w:val="single" w:sz="4" w:color="BDC3C7"/>
              <w:right w:val="single" w:sz="4" w:color="BDC3C7"/>
            </w:tcBorders>
          </w:tcPr>
          <w:p>
            <w:r>
              <w:rPr>
                <w:i/>
              </w:rPr>
              <w:t>Σ Δ</w:t>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t>+0.00</w:t>
            </w:r>
          </w:p>
        </w:tc>
      </w:tr>
      <w:tr>
        <w:tc>
          <w:tcPr>
            <w:tcW w:type="dxa" w:w="2448"/>
            <w:shd w:val="clear" w:color="auto" w:fill="E8EDF5"/>
            <w:tcBorders>
              <w:top w:val="single" w:sz="4" w:color="BDC3C7"/>
              <w:bottom w:val="single" w:sz="4" w:color="BDC3C7"/>
              <w:left w:val="single" w:sz="4" w:color="BDC3C7"/>
              <w:right w:val="single" w:sz="4" w:color="BDC3C7"/>
            </w:tcBorders>
          </w:tcPr>
          <w:p>
            <w:r>
              <w:rPr>
                <w:b/>
              </w:rPr>
              <w:t>Our EPS</w:t>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t>$1.86</w:t>
            </w:r>
          </w:p>
        </w:tc>
      </w:tr>
    </w:tbl>
    <w:p>
      <w:pPr>
        <w:pStyle w:val="PullQuote"/>
      </w:pPr>
      <w:r>
        <w:t xml:space="preserve">  ⚠ No edge claims; our EPS matches baseline (consensus).</w:t>
      </w:r>
    </w:p>
    <w:p>
      <w:r>
        <w:t>Our estimate is $0.00 (0.0%) below consensus $1.86. No single driver within plausible bounds can close the gap to consensus when other drivers are held at our values; the EPS variant is diffuse (top magnitude: revenue_growth.production_volume_growth). Variant appears within market noise -- may already be priced in. Next catalyst: Next quarterly earnings report (2026-05-08 (1 days)). Time horizon: trade.</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revenue_growth.production_volume_growth</w:t>
            </w:r>
          </w:p>
        </w:tc>
        <w:tc>
          <w:tcPr>
            <w:tcW w:type="dxa" w:w="1958"/>
            <w:tcBorders>
              <w:top w:val="single" w:sz="4" w:color="BDC3C7"/>
              <w:bottom w:val="single" w:sz="4" w:color="BDC3C7"/>
              <w:left w:val="single" w:sz="4" w:color="BDC3C7"/>
              <w:right w:val="single" w:sz="4" w:color="BDC3C7"/>
            </w:tcBorders>
          </w:tcPr>
          <w:p>
            <w:r>
              <w:t>+27.00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0.55</w:t>
            </w:r>
          </w:p>
        </w:tc>
      </w:tr>
      <w:tr>
        <w:tc>
          <w:tcPr>
            <w:tcW w:type="dxa" w:w="1958"/>
            <w:tcBorders>
              <w:top w:val="single" w:sz="4" w:color="BDC3C7"/>
              <w:bottom w:val="single" w:sz="4" w:color="BDC3C7"/>
              <w:left w:val="single" w:sz="4" w:color="BDC3C7"/>
              <w:right w:val="single" w:sz="4" w:color="BDC3C7"/>
            </w:tcBorders>
          </w:tcPr>
          <w:p>
            <w:r>
              <w:t>revenue_growth.gold_price_assumption</w:t>
            </w:r>
          </w:p>
        </w:tc>
        <w:tc>
          <w:tcPr>
            <w:tcW w:type="dxa" w:w="1958"/>
            <w:tcBorders>
              <w:top w:val="single" w:sz="4" w:color="BDC3C7"/>
              <w:bottom w:val="single" w:sz="4" w:color="BDC3C7"/>
              <w:left w:val="single" w:sz="4" w:color="BDC3C7"/>
              <w:right w:val="single" w:sz="4" w:color="BDC3C7"/>
            </w:tcBorders>
          </w:tcPr>
          <w:p>
            <w:r>
              <w:t>+10.00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0.40</w:t>
            </w:r>
          </w:p>
        </w:tc>
      </w:tr>
    </w:tbl>
    <w:p>
      <w:pPr>
        <w:pStyle w:val="PullQuote"/>
      </w:pPr>
      <w:r>
        <w:t>Rows marked 'n/a (unreachable)' mean no single value of that driver within plausible bounds would produce consensus EPS when other drivers are held at our values — i.e., the EPS gap can't be attributed to that driver alone. The ΔEPS column is not shown for those rows because the implied-street value would be a search-bound artifact, not a real derivation.</w:t>
      </w:r>
    </w:p>
    <w:p>
      <w:r>
        <w:t>Priced in: likely — Variant (+0.0%) within implied move noise (4.0%)</w:t>
      </w:r>
    </w:p>
    <w:p>
      <w:r>
        <w:t>Edge verdict: NO_CLEAR_EDGE (score 0.000).</w:t>
      </w:r>
    </w:p>
    <w:p>
      <w:pPr>
        <w:pStyle w:val="PullQuote"/>
      </w:pPr>
      <w:r>
        <w:t>Counter: the analyst claims Consensus EPS of $1.86 vs current $0.00 EPS — but This massive gap between current losses and consensus expectations, combined with recent production disappointments, suggests consensus is severely stale and analyst is anchoring to outdated numbers rather than current operational reality</w:t>
      </w:r>
    </w:p>
    <w:p>
      <w:pPr>
        <w:pStyle w:val="SectionHeading"/>
      </w:pPr>
      <w:r>
        <w:t>4. Catalysts</w:t>
      </w:r>
    </w:p>
    <w:p>
      <w:pPr>
        <w:pStyle w:val="ListBullet"/>
      </w:pPr>
      <w:r>
        <w:t>Next quarterly earnings report (2026-05-08 (1 days)) — resolves revenue + margins + guidance; confirms or challenges</w:t>
      </w:r>
    </w:p>
    <w:p>
      <w:pPr>
        <w:pStyle w:val="ListBullet"/>
      </w:pPr>
      <w:r>
        <w:t>Resolution: Significant margin expansion driving 92% EPS growth (Resolves at earnings (2026-05-08)) — resolves revenue_growth; confirms or challenges</w:t>
      </w:r>
    </w:p>
    <w:p>
      <w:pPr>
        <w:pStyle w:val="ListBullet"/>
      </w:pPr>
      <w:r>
        <w:t>Resolution: Analyst blind spot (Multi-year thesis -- patience required) — resolves general; confirms or challenges</w:t>
      </w:r>
    </w:p>
    <w:p>
      <w:pPr>
        <w:pStyle w:val="ListBullet"/>
      </w:pPr>
      <w:r>
        <w:t>Resolution: Analyst blind spot (Multi-year thesis -- patience required) — resolves general; confirms or challenges</w:t>
      </w:r>
    </w:p>
    <w:p>
      <w:pPr>
        <w:pStyle w:val="ListBullet"/>
      </w:pPr>
      <w:r>
        <w:t>Mine-by-mine production and cost breakdowns (Unknown timing) — resolves multiple; resolves uncertainty</w:t>
      </w:r>
    </w:p>
    <w:p>
      <w:pPr>
        <w:pStyle w:val="ListBullet"/>
      </w:pPr>
      <w:r>
        <w:t>Specific tax optimization initiatives and timeline (Unknown timing) — resolves multiple; resolves uncertainty</w:t>
      </w:r>
    </w:p>
    <w:p>
      <w:pPr>
        <w:pStyle w:val="SectionHeading"/>
      </w:pPr>
      <w:r>
        <w:t>5. Risks, Blind Spots &amp; Kill Criteria</w:t>
      </w:r>
    </w:p>
    <w:p>
      <w:pPr>
        <w:pStyle w:val="SubHeading"/>
      </w:pPr>
      <w:r>
        <w:t>Top risks:</w:t>
      </w:r>
    </w:p>
    <w:p>
      <w:pPr>
        <w:pStyle w:val="ListBullet"/>
      </w:pPr>
      <w:r>
        <w:t>Orla generates revenue through gold production and sales with operations ramping production — counter: Filing shows $1,075.5M revenue but $0.00 EPS - this suggests massive operational losses despite high revenue, indicating severe cost structure problems rather than successful production ramp (source: filing) [serious]</w:t>
      </w:r>
    </w:p>
    <w:p>
      <w:pPr>
        <w:pStyle w:val="ListBullet"/>
      </w:pPr>
      <w:r>
        <w:t>45% production volume growth assumption driving the long thesis — counter: Recent news shows 'Production Slip In First Quarter' and stock down 9.0% and 9.8% after operational updates, contradicting growth trajectory assumptions (source: news) [serious]</w:t>
      </w:r>
    </w:p>
    <w:p>
      <w:pPr>
        <w:pStyle w:val="ListBullet"/>
      </w:pPr>
      <w:r>
        <w:t>Significant margin expansion driving 92% EPS growth — counter: FY2025 showed 59.1% tax rate and cost of revenue at 51.3% of sales, suggesting limited operating leverage. Heavy D&amp;A burden of $151.8M indicates ongoing capital intensity. [moderate]</w:t>
      </w:r>
    </w:p>
    <w:p>
      <w:pPr>
        <w:pStyle w:val="ListBullet2"/>
      </w:pPr>
      <w:r>
        <w:rPr>
          <w:i/>
        </w:rPr>
        <w:t>→ Research [UPDATES]: Recent analyst estimates for Orla Mining FY2026 EPS range from $1.85–$1.91, not $1.86. Scotiabank's most recent estimate (April 23, 2026) is $1.89; Stockopedia consensus is $1.85. The 92% YoY growth claim cannot be verified from available data. (stockopedia.com)</w:t>
      </w:r>
    </w:p>
    <w:p>
      <w:pPr>
        <w:pStyle w:val="SubHeading"/>
      </w:pPr>
      <w:r>
        <w:t>Blind spots (auditor-independent):</w:t>
      </w:r>
    </w:p>
    <w:p>
      <w:pPr>
        <w:pStyle w:val="ListBullet"/>
      </w:pPr>
      <w:r>
        <w:t>Zero consideration of mining-specific operational risks (permitting, environmental, labor strikes, equipment failures)</w:t>
      </w:r>
    </w:p>
    <w:p>
      <w:pPr>
        <w:pStyle w:val="ListBullet"/>
      </w:pPr>
      <w:r>
        <w:t>Complete disconnect between $1B+ revenue and $0 EPS - massive cost structure analysis missing</w:t>
      </w:r>
    </w:p>
    <w:p>
      <w:pPr>
        <w:pStyle w:val="ListBullet"/>
      </w:pPr>
      <w:r>
        <w:t>No analysis of gold price volatility impact on revenue despite 10% price assumption</w:t>
      </w:r>
    </w:p>
    <w:p>
      <w:pPr>
        <w:pStyle w:val="KillCriteria"/>
      </w:pPr>
      <w:r>
        <w:t>What would change our mind: Unable to close gap: Mine-by-mine production and cost breakdowns</w:t>
      </w:r>
    </w:p>
    <w:p>
      <w:pPr>
        <w:pStyle w:val="SectionHeading"/>
      </w:pPr>
      <w:r>
        <w:t>Appendix</w:t>
      </w:r>
    </w:p>
    <w:p>
      <w:pPr>
        <w:pStyle w:val="SubHeading"/>
      </w:pPr>
      <w:r>
        <w:t>Business context:</w:t>
      </w:r>
    </w:p>
    <w:p>
      <w:r>
        <w:t>Orla Mining is a gold mining company operating multiple mines including Camino Rojo in Mexico and Musselwhite in Canada. The company generates revenue through gold production and sales, with operations focused on ramping production across its asset base.</w:t>
      </w:r>
    </w:p>
    <w:p>
      <w:pPr>
        <w:pStyle w:val="SubHeading"/>
      </w:pPr>
      <w:r>
        <w:t>Evidence gaps (research TODO):</w:t>
      </w:r>
    </w:p>
    <w:p>
      <w:pPr>
        <w:pStyle w:val="ListBullet"/>
      </w:pPr>
      <w:r>
        <w:t>Mine-by-mine production and cost breakdowns</w:t>
      </w:r>
    </w:p>
    <w:p>
      <w:pPr>
        <w:pStyle w:val="ListBullet"/>
      </w:pPr>
      <w:r>
        <w:t>Specific tax optimization initiatives and timeline</w:t>
      </w:r>
    </w:p>
    <w:p>
      <w:pPr>
        <w:pStyle w:val="ListBullet"/>
      </w:pPr>
      <w:r>
        <w:t>Quarterly operational metrics and cost inflation trends</w:t>
      </w:r>
    </w:p>
    <w:p>
      <w:pPr>
        <w:pStyle w:val="ListBullet"/>
      </w:pPr>
      <w:r>
        <w:t>Capital expenditure requirements for maintaining production levels</w:t>
      </w:r>
    </w:p>
    <w:p>
      <w:pPr>
        <w:pStyle w:val="ListBullet"/>
      </w:pPr>
      <w:r>
        <w:t>Detailed management guidance on margin trajectory</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WarningBanner">
    <w:name w:val="WarningBanner"/>
    <w:pPr>
      <w:spacing w:before="80" w:after="80" w:line="276" w:lineRule="auto"/>
    </w:pPr>
    <w:rPr>
      <w:rFonts w:ascii="Calibri" w:hAnsi="Calibri"/>
      <w:b/>
      <w:i w:val="0"/>
      <w:color w:val="8C1D40"/>
      <w:sz w:val="22"/>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