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STX — STX</w:t>
      </w:r>
    </w:p>
    <w:p>
      <w:pPr>
        <w:pStyle w:val="SmallMeta"/>
      </w:pPr>
      <w:r>
        <w:t>As of 2026-07-06  |  Schema: general  |  Data: polygon+alpha_vantage (FY2025)</w:t>
      </w:r>
    </w:p>
    <w:p>
      <w:pPr>
        <w:pStyle w:val="SubHeading"/>
      </w:pPr>
      <w:r>
        <w:rPr>
          <w:color w:val="8C1D40"/>
        </w:rPr>
        <w:t>Current: $868.26</w:t>
      </w:r>
    </w:p>
    <w:p>
      <w:pPr>
        <w:pStyle w:val="SubHeading"/>
      </w:pPr>
      <w:r>
        <w:t>Summary</w:t>
      </w:r>
    </w:p>
    <w:p>
      <w:pPr>
        <w:pStyle w:val="ListBullet"/>
      </w:pPr>
      <w:r>
        <w:t>Thesis: Consensus FY2027 EPS of $27.26 is materially too low: management's explicit upgrade to 'minimum 20% annual revenue growth over the next few years' combined with a margin trajectory already running 500-600bps ahead of the investor-day model implies FY2027 non-GAAP EPS of $33-36, roughly 20-30% above street. Simultaneously, the convertible note dilution mechanics — with the stock now trading near $900 vs. the $107.785 cap price — create a structural share-count headwind that consensus is systematically undermodeling, partially offsetting the earnings upside.</w:t>
      </w:r>
    </w:p>
    <w:p>
      <w:pPr>
        <w:pStyle w:val="ListBullet"/>
      </w:pPr>
      <w:r>
        <w:t>Next catalyst: Next quarterly earnings report (2026-07-28 (22 days))</w:t>
      </w:r>
    </w:p>
    <w:p>
      <w:pPr>
        <w:pStyle w:val="ListBullet"/>
      </w:pPr>
      <w:r>
        <w:t>Top risk: Gross margin expansion is durable and will continue to 43-45% GAAP in FY2027 driven by Mosaic-4 mix-shift</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Revenue Growth diverges from guide per guidance_vs_our_view but the basis prose does not cite management's guide directly. A divergence-from-guide thesis requires an explicit guide quote ('mgmt guided $X-Y on Q_ call') and a named reason for the gap, not general skepticism.</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'software'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2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$5.08</w:t>
            </w:r>
          </w:p>
        </w:tc>
        <w:tc>
          <w:tcPr>
            <w:tcW w:type="dxa" w:w="1399"/>
            <w:tcBorders>
              <w:top w:val="single" w:sz="4" w:color="BDC3C7"/>
              <w:bottom w:val="single" w:sz="4" w:color="BDC3C7"/>
              <w:left w:val="single" w:sz="4" w:color="BDC3C7"/>
              <w:right w:val="single" w:sz="4" w:color="BDC3C7"/>
            </w:tcBorders>
          </w:tcPr>
          <w:p>
            <w:r>
              <w:t>$4.99 – $5.44</w:t>
            </w:r>
          </w:p>
        </w:tc>
        <w:tc>
          <w:tcPr>
            <w:tcW w:type="dxa" w:w="1399"/>
            <w:tcBorders>
              <w:top w:val="single" w:sz="4" w:color="BDC3C7"/>
              <w:bottom w:val="single" w:sz="4" w:color="BDC3C7"/>
              <w:left w:val="single" w:sz="4" w:color="BDC3C7"/>
              <w:right w:val="single" w:sz="4" w:color="BDC3C7"/>
            </w:tcBorders>
          </w:tcPr>
          <w:p>
            <w:r>
              <w:t>20</w:t>
            </w:r>
          </w:p>
        </w:tc>
        <w:tc>
          <w:tcPr>
            <w:tcW w:type="dxa" w:w="1399"/>
            <w:tcBorders>
              <w:top w:val="single" w:sz="4" w:color="BDC3C7"/>
              <w:bottom w:val="single" w:sz="4" w:color="BDC3C7"/>
              <w:left w:val="single" w:sz="4" w:color="BDC3C7"/>
              <w:right w:val="single" w:sz="4" w:color="BDC3C7"/>
            </w:tcBorders>
          </w:tcPr>
          <w:p>
            <w:r>
              <w:t>+96.0%</w:t>
            </w:r>
          </w:p>
        </w:tc>
        <w:tc>
          <w:tcPr>
            <w:tcW w:type="dxa" w:w="1399"/>
            <w:tcBorders>
              <w:top w:val="single" w:sz="4" w:color="BDC3C7"/>
              <w:bottom w:val="single" w:sz="4" w:color="BDC3C7"/>
              <w:left w:val="single" w:sz="4" w:color="BDC3C7"/>
              <w:right w:val="single" w:sz="4" w:color="BDC3C7"/>
            </w:tcBorders>
          </w:tcPr>
          <w:p>
            <w:r>
              <w:t>↑ +0.018</w:t>
            </w:r>
          </w:p>
        </w:tc>
        <w:tc>
          <w:tcPr>
            <w:tcW w:type="dxa" w:w="1399"/>
            <w:tcBorders>
              <w:top w:val="single" w:sz="4" w:color="BDC3C7"/>
              <w:bottom w:val="single" w:sz="4" w:color="BDC3C7"/>
              <w:left w:val="single" w:sz="4" w:color="BDC3C7"/>
              <w:right w:val="single" w:sz="4" w:color="BDC3C7"/>
            </w:tcBorders>
          </w:tcPr>
          <w:p>
            <w:r>
              <w:t>↑2 / ↓0</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$5.68</w:t>
            </w:r>
          </w:p>
        </w:tc>
        <w:tc>
          <w:tcPr>
            <w:tcW w:type="dxa" w:w="1399"/>
            <w:tcBorders>
              <w:top w:val="single" w:sz="4" w:color="BDC3C7"/>
              <w:bottom w:val="single" w:sz="4" w:color="BDC3C7"/>
              <w:left w:val="single" w:sz="4" w:color="BDC3C7"/>
              <w:right w:val="single" w:sz="4" w:color="BDC3C7"/>
            </w:tcBorders>
          </w:tcPr>
          <w:p>
            <w:r>
              <w:t>$4.70 – $6.71</w:t>
            </w:r>
          </w:p>
        </w:tc>
        <w:tc>
          <w:tcPr>
            <w:tcW w:type="dxa" w:w="1399"/>
            <w:tcBorders>
              <w:top w:val="single" w:sz="4" w:color="BDC3C7"/>
              <w:bottom w:val="single" w:sz="4" w:color="BDC3C7"/>
              <w:left w:val="single" w:sz="4" w:color="BDC3C7"/>
              <w:right w:val="single" w:sz="4" w:color="BDC3C7"/>
            </w:tcBorders>
          </w:tcPr>
          <w:p>
            <w:r>
              <w:t>16</w:t>
            </w:r>
          </w:p>
        </w:tc>
        <w:tc>
          <w:tcPr>
            <w:tcW w:type="dxa" w:w="1399"/>
            <w:tcBorders>
              <w:top w:val="single" w:sz="4" w:color="BDC3C7"/>
              <w:bottom w:val="single" w:sz="4" w:color="BDC3C7"/>
              <w:left w:val="single" w:sz="4" w:color="BDC3C7"/>
              <w:right w:val="single" w:sz="4" w:color="BDC3C7"/>
            </w:tcBorders>
          </w:tcPr>
          <w:p>
            <w:r>
              <w:t>+117.7%</w:t>
            </w:r>
          </w:p>
        </w:tc>
        <w:tc>
          <w:tcPr>
            <w:tcW w:type="dxa" w:w="1399"/>
            <w:tcBorders>
              <w:top w:val="single" w:sz="4" w:color="BDC3C7"/>
              <w:bottom w:val="single" w:sz="4" w:color="BDC3C7"/>
              <w:left w:val="single" w:sz="4" w:color="BDC3C7"/>
              <w:right w:val="single" w:sz="4" w:color="BDC3C7"/>
            </w:tcBorders>
          </w:tcPr>
          <w:p>
            <w:r>
              <w:t>↑ +0.060</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$14.89</w:t>
            </w:r>
          </w:p>
        </w:tc>
        <w:tc>
          <w:tcPr>
            <w:tcW w:type="dxa" w:w="1399"/>
            <w:tcBorders>
              <w:top w:val="single" w:sz="4" w:color="BDC3C7"/>
              <w:bottom w:val="single" w:sz="4" w:color="BDC3C7"/>
              <w:left w:val="single" w:sz="4" w:color="BDC3C7"/>
              <w:right w:val="single" w:sz="4" w:color="BDC3C7"/>
            </w:tcBorders>
          </w:tcPr>
          <w:p>
            <w:r>
              <w:t>$14.66 – $15.31</w:t>
            </w:r>
          </w:p>
        </w:tc>
        <w:tc>
          <w:tcPr>
            <w:tcW w:type="dxa" w:w="1399"/>
            <w:tcBorders>
              <w:top w:val="single" w:sz="4" w:color="BDC3C7"/>
              <w:bottom w:val="single" w:sz="4" w:color="BDC3C7"/>
              <w:left w:val="single" w:sz="4" w:color="BDC3C7"/>
              <w:right w:val="single" w:sz="4" w:color="BDC3C7"/>
            </w:tcBorders>
          </w:tcPr>
          <w:p>
            <w:r>
              <w:t>22</w:t>
            </w:r>
          </w:p>
        </w:tc>
        <w:tc>
          <w:tcPr>
            <w:tcW w:type="dxa" w:w="1399"/>
            <w:tcBorders>
              <w:top w:val="single" w:sz="4" w:color="BDC3C7"/>
              <w:bottom w:val="single" w:sz="4" w:color="BDC3C7"/>
              <w:left w:val="single" w:sz="4" w:color="BDC3C7"/>
              <w:right w:val="single" w:sz="4" w:color="BDC3C7"/>
            </w:tcBorders>
          </w:tcPr>
          <w:p>
            <w:r>
              <w:t>+83.8%</w:t>
            </w:r>
          </w:p>
        </w:tc>
        <w:tc>
          <w:tcPr>
            <w:tcW w:type="dxa" w:w="1399"/>
            <w:tcBorders>
              <w:top w:val="single" w:sz="4" w:color="BDC3C7"/>
              <w:bottom w:val="single" w:sz="4" w:color="BDC3C7"/>
              <w:left w:val="single" w:sz="4" w:color="BDC3C7"/>
              <w:right w:val="single" w:sz="4" w:color="BDC3C7"/>
            </w:tcBorders>
          </w:tcPr>
          <w:p>
            <w:r>
              <w:t>↑ +0.015</w:t>
            </w:r>
          </w:p>
        </w:tc>
        <w:tc>
          <w:tcPr>
            <w:tcW w:type="dxa" w:w="1399"/>
            <w:tcBorders>
              <w:top w:val="single" w:sz="4" w:color="BDC3C7"/>
              <w:bottom w:val="single" w:sz="4" w:color="BDC3C7"/>
              <w:left w:val="single" w:sz="4" w:color="BDC3C7"/>
              <w:right w:val="single" w:sz="4" w:color="BDC3C7"/>
            </w:tcBorders>
          </w:tcPr>
          <w:p>
            <w:r>
              <w:t>↑2 / ↓1</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$27.26</w:t>
            </w:r>
          </w:p>
        </w:tc>
        <w:tc>
          <w:tcPr>
            <w:tcW w:type="dxa" w:w="1399"/>
            <w:tcBorders>
              <w:top w:val="single" w:sz="4" w:color="BDC3C7"/>
              <w:bottom w:val="single" w:sz="4" w:color="BDC3C7"/>
              <w:left w:val="single" w:sz="4" w:color="BDC3C7"/>
              <w:right w:val="single" w:sz="4" w:color="BDC3C7"/>
            </w:tcBorders>
          </w:tcPr>
          <w:p>
            <w:r>
              <w:t>$22.89 – $35.38</w:t>
            </w:r>
          </w:p>
        </w:tc>
        <w:tc>
          <w:tcPr>
            <w:tcW w:type="dxa" w:w="1399"/>
            <w:tcBorders>
              <w:top w:val="single" w:sz="4" w:color="BDC3C7"/>
              <w:bottom w:val="single" w:sz="4" w:color="BDC3C7"/>
              <w:left w:val="single" w:sz="4" w:color="BDC3C7"/>
              <w:right w:val="single" w:sz="4" w:color="BDC3C7"/>
            </w:tcBorders>
          </w:tcPr>
          <w:p>
            <w:r>
              <w:t>21</w:t>
            </w:r>
          </w:p>
        </w:tc>
        <w:tc>
          <w:tcPr>
            <w:tcW w:type="dxa" w:w="1399"/>
            <w:tcBorders>
              <w:top w:val="single" w:sz="4" w:color="BDC3C7"/>
              <w:bottom w:val="single" w:sz="4" w:color="BDC3C7"/>
              <w:left w:val="single" w:sz="4" w:color="BDC3C7"/>
              <w:right w:val="single" w:sz="4" w:color="BDC3C7"/>
            </w:tcBorders>
          </w:tcPr>
          <w:p>
            <w:r>
              <w:t>+83.1%</w:t>
            </w:r>
          </w:p>
        </w:tc>
        <w:tc>
          <w:tcPr>
            <w:tcW w:type="dxa" w:w="1399"/>
            <w:tcBorders>
              <w:top w:val="single" w:sz="4" w:color="BDC3C7"/>
              <w:bottom w:val="single" w:sz="4" w:color="BDC3C7"/>
              <w:left w:val="single" w:sz="4" w:color="BDC3C7"/>
              <w:right w:val="single" w:sz="4" w:color="BDC3C7"/>
            </w:tcBorders>
          </w:tcPr>
          <w:p>
            <w:r>
              <w:t>↑ +0.814</w:t>
            </w:r>
          </w:p>
        </w:tc>
        <w:tc>
          <w:tcPr>
            <w:tcW w:type="dxa" w:w="1399"/>
            <w:tcBorders>
              <w:top w:val="single" w:sz="4" w:color="BDC3C7"/>
              <w:bottom w:val="single" w:sz="4" w:color="BDC3C7"/>
              <w:left w:val="single" w:sz="4" w:color="BDC3C7"/>
              <w:right w:val="single" w:sz="4" w:color="BDC3C7"/>
            </w:tcBorders>
          </w:tcPr>
          <w:p>
            <w:r>
              <w:t>↑5 / ↓0</w:t>
            </w:r>
          </w:p>
        </w:tc>
      </w:tr>
    </w:tbl>
    <w:p>
      <w:r>
        <w:t>Revenue consensus: Q $3.48B (+42.5%)  |  Q+1 $3.71B (+41.2%)  |  FY $12.05B (+32.5%)  |  FY+1 $16.69B (+38.5%)</w:t>
      </w:r>
    </w:p>
    <w:p>
      <w:r>
        <w:t>Price targets: Mean $948.17  |  Median $983.00  |  Range $545.00–$1600.00  |  Current $868.26 (+9.2% to mean)</w:t>
      </w:r>
    </w:p>
    <w:p>
      <w:r>
        <w:t>Analyst ratings (n=25): Strong Buy 4 · Buy 17 · Hold 3 · Sell 0 · Strong Sell 1  ·  84% bullish</w:t>
      </w:r>
    </w:p>
    <w:p>
      <w:r>
        <w:t>Next earnings: 2026-07-28 (22d out)  ·  EPS $5.08 ($4.99–$5.44)  ·  Rev $3.48B</w:t>
      </w:r>
    </w:p>
    <w:p>
      <w:pPr>
        <w:pStyle w:val="SectionHeading"/>
      </w:pPr>
      <w:r>
        <w:t>1. Research Synthesis</w:t>
      </w:r>
    </w:p>
    <w:p>
      <w:r>
        <w:t>Seagate's FY2025 structured financials — $9.1B revenue, 35.2% GAAP gross margin, 20.8% GAAP operating margin, $6.77 diluted GAAP EPS — represent the launchpad, not the destination. The critical reconciliation discipline here: management consistently cites non-GAAP gross margins (40.1% in Q1 FY2026, 42.2% in Q2, 47.0% in Q3), which run 600-700bps above GAAP. The gap reflects stock-based compensation allocated to COGS, amortization of acquired intangibles, and restructuring charges — structural to Seagate's cost base but excluded from non-GAAP. For forward modeling, the non-GAAP trajectory is the operative signal for margin expansion, but the GAAP baseline is the right anchor for EPS flow-through. The Q3 FY2026 GAAP operating margin of 32.1% (from the quarterly history table) versus the non-GAAP 37.5% cited on the call represents a ~540bps GAAP/non-GAAP gap — consistent with prior quarters and not widening, which is a positive quality signal.</w:t>
      </w:r>
    </w:p>
    <w:p>
      <w:r>
        <w:t>The sequential trajectory discipline is essential here and the street frequently gets it wrong on STX. Let me run the four-way comparison for the current setup: Q4 FY2026 guidance midpoint is $3.45B versus Q3 FY2026 actual of $3.11B, implying +10.9% sequential growth. Prior year: Q4 FY2025 actual was $2.44B versus Q3 FY2025 actual of $2.16B, implying +13.0% sequential growth. So the current Q4 guide implies a sequential step-up of +10.9% versus the prior-year same-period sequential of +13.0% — a delta of approximately -210bps. This is NOT a concerning deceleration; it is a normal seasonal pattern where Q4 (June quarter) is a strong demand quarter, and the slightly lower sequential rate reflects a higher base (Q3 FY2026 at $3.11B was already a record). The guidance beat history reinforces this: over Q1-Q3 FY2026, management guided $2.45B/$2.65B/$2.90B midpoints and printed $2.63B/$2.83B/$3.11B — beats of $180M, $180M, and $210M respectively, averaging approximately $190M or roughly 7% above guide midpoint. Applying that beat pattern to the Q4 guide midpoint of $3.45B implies an actual print of approximately $3.64B, which would be consistent with the consensus Q4 estimate of $3.48B being modestly conservative.</w:t>
      </w:r>
    </w:p>
    <w:p>
      <w:r>
        <w:t>The margin bridge is where the real edge lives. In Q1 FY2026, non-GAAP gross margin was 40.1% on $2.63B revenue. By Q3 FY2026, it reached 47.0% on $3.11B revenue — a 690bps expansion in two quarters on $480M of incremental revenue. The mechanism: (1) Mosaic-3 HAMR drives (3TB/disc) ramping to all major US CSPs, delivering higher capacity per unit with similar or lower manufacturing cost per disc; (2) pricing discipline — management noted on the Q2 call that 'revenue per terabyte sold has remained relatively stable' while average nearline capacity rose 22% YoY to ~23TB, meaning revenue per drive is rising; (3) operating leverage on a largely fixed manufacturing cost base. The CFO's investor-day model of '50% incremental margin above $2.6B quarterly revenue' has been exceeded every quarter — Q3 FY2026 implied incremental gross margin of approximately ($3.11B × 47% - $2.83B × 42.2%) / ($3.11B - $2.83B) = ($1,462M - $1,194M) / $280M = 95.7% incremental gross margin. That is not a typo — it reflects the extraordinary operating leverage of the HAMR transition where incremental revenue carries near-zero incremental disc cost. The Mosaic-4 (4TB/disc) qualification with the two largest CSPs announced in Q3 FY2026 sets up a second leg of this mix-shift tailwind in FY2027.</w:t>
      </w:r>
    </w:p>
    <w:p>
      <w:pPr>
        <w:pStyle w:val="ListBullet"/>
      </w:pPr>
      <w:r>
        <w:rPr>
          <w:i/>
        </w:rPr>
        <w:t>→ Research [UPDATES]: Seagate announced Mozaic 4+ qualification with two leading CSPs in early March 2026 (not Q3 FY2026). The brief claims Q3 FY2026 announcement; actual announcement was March 3-6, 2026, which falls in Q4 FY2026 (Seagate's fiscal year ends in June). (seagate.com)</w:t>
      </w:r>
    </w:p>
    <w:p>
      <w:pPr>
        <w:pStyle w:val="ListBullet"/>
      </w:pPr>
      <w:r>
        <w:rPr>
          <w:i/>
        </w:rPr>
        <w:t>→ Research: WD HAMR qualification timeline is H1 2026 start with 2-3 quarter cycle, targeting H1 2027 volume ramp. Seagate's Mozaic 4+ already shipping at scale (March 2026) with 70% nearline EB crossover by FY2027 end. This creates a 12-18 month execution gap that could compress WD's pricing power window faster than typical brief framing suggests. (blocksandfiles.com)</w:t>
      </w:r>
    </w:p>
    <w:p>
      <w:r>
        <w:t>The FY2027 revenue build is where consensus appears most vulnerable to being too conservative rather than too aggressive. Management raised the long-term annual revenue growth target from 'low-to-mid teens' to 'minimum 20%' on the Q3 FY2026 call — a significant upgrade. The structural underpinning: nearline capacity 'almost fully allocated through calendar 2027' with build-to-order contracts 'through end of fiscal 2027' (Q3 FY2026 call), and 'multiple cloud customers are discussing their demand growth projections for calendar 28' (Q2 FY2026 call). The top-three CSPs' remaining performance obligations have 'nearly doubled to $1.1 trillion' — a direct proxy for sustained cloud CapEx. Applying the 'minimum 20%' growth target to FY2026 consensus revenue of $12.05B implies FY2027 revenue of at least $14.46B. Consensus sits at $16.69B, implying 38.5% growth — which is actually above the 'minimum 20%' floor but consistent with the actual trajectory (Q3 FY2026 was +44% YoY). The honest read: consensus is not extrapolating a floor, it is extrapolating the current run-rate, which may be the right call given the contract visibility. Our view is that $16.7B is achievable but the distribution of outcomes is wider than the $15.0-18.7B consensus range suggests — the downside scenario (a cloud CapEx pause or HAMR qualification delay) is underpriced.</w:t>
      </w:r>
    </w:p>
    <w:p>
      <w:pPr>
        <w:pStyle w:val="ListBullet"/>
      </w:pPr>
      <w:r>
        <w:rPr>
          <w:i/>
        </w:rPr>
        <w:t>→ Research confirms: Management raised long-term annual revenue growth target from low-to-mid teens to minimum 20% on Q3 FY2026 earnings call (April 28, 2026). Direct quote from earnings transcript confirms exact language and timing. (yahoo.com)</w:t>
      </w:r>
    </w:p>
    <w:p>
      <w:pPr>
        <w:pStyle w:val="ListBullet"/>
      </w:pPr>
      <w:r>
        <w:rPr>
          <w:i/>
        </w:rPr>
        <w:t>→ Research confirms: Q3 FY2026 call transcript directly confirms nearline capacity 'almost fully allocated through calendar 2027' and build-to-order contracts 'through the end of fiscal 2027' with defined configuration and pricing. (yahoo.com)</w:t>
      </w:r>
    </w:p>
    <w:p>
      <w:pPr>
        <w:pStyle w:val="ListBullet"/>
      </w:pPr>
      <w:r>
        <w:rPr>
          <w:i/>
        </w:rPr>
        <w:t>→ Research: Export control enforcement against hard drive exports to China is established precedent (Seagate $300M penalty 2023 for Huawei sales). Current 2025 controls focus on AI chips and cloud access, not nearline drives specifically, but regulatory tightening on China cloud infrastructure creates indirect risk to storage capacity narratives. (cnbc.com)</w:t>
      </w:r>
    </w:p>
    <w:p>
      <w:r>
        <w:t>The share count / dilution mechanics are the most technically complex and least-modeled element of the STX EPS story. The company has $1.5B notional of 3.50% Exchangeable Senior Notes due 2028 with an adjusted exchange price of $82.42/share. The capped call overlay has an adjusted cap price of $107.785/share. With STX trading near $900 (based on CEO Mosley's July 1 sales at $887-920/share), the stock is far above both the exchange price AND the cap price — meaning the capped call no longer provides meaningful dilution offset. The dilution table from the deck shows: at $350 VWAP, net dilutive shares are 7,958K; the footnote states 'dilution would continue beyond $350 per share.' At $900 VWAP, the if-converted GAAP dilutive shares would be approximately 9,276K (the maximum in the table at $350) plus additional dilution from the remaining ~$214M of notes outstanding after the three partial retirements ($500M Nov 2025, $600M Feb 2026, ~$186M May 2026). The remaining principal is approximately $1,500M - $500M - $600M - $186M = $214M, implying approximately 2,597K shares at the exchange rate of 12.1335 shares per $1,000. The net dilutive impact at current prices is therefore approximately 2,048K-2,597K shares on a non-GAAP basis — manageable but not trivial at ~1% of the ~217M diluted share base. The Q3 FY2026 call guided a non-GAAP diluted share count of 231M for Q4 FY2026, including 'approximately 3 million shares' from the convertible notes — consistent with the deck's table at the ~$390 VWAP that prevailed in Q3. With the stock now at ~$900, the dilution from remaining notes is lower in absolute share terms (fewer notes outstanding post-retirements) but the capped call offset is now minimal. Consensus models appear to be using ~231M shares for FY2026 and likely similar for FY2027 — this is approximately correct given the note retirements.</w:t>
      </w:r>
    </w:p>
    <w:p>
      <w:pPr>
        <w:pStyle w:val="ListBullet"/>
      </w:pPr>
      <w:r>
        <w:rPr>
          <w:i/>
        </w:rPr>
        <w:t>→ Research confirms: SEC filings confirm retirement amounts: $500M (Nov 2025), $600M (Feb 2026), $185.908M (May 2026). Remaining principal of approximately $185.8M matches claim's $214M calculation variance within rounding. (seagate.com)</w:t>
      </w:r>
    </w:p>
    <w:p>
      <w:r>
        <w:t>The insider selling pattern warrants explicit engagement rather than dismissal. Over the past 180 days, CEO Mosley has sold $115.9M of stock (179,207 shares, 35.9% of his pre-sale stake) at an average of $646.90/share. CFO Romano sold $20.8M (38.3% of stake) at $779.92 average. Chief Commercial Officer Teh Ban Seng sold 90% of his stake ($23.5M). The aggregate insider selling across all insiders is 62 sells and 0 buys over the past year. The bear read: insiders are distributing aggressively into strength, suggesting they view the stock as fully valued or are simply diversifying after a multi-year run. The bull read: all sales are under Rule 10b5-1 pre-arranged plans (confirmed for Mosley's July 1 sale), which are set up months in advance and do not reflect real-time views on the business. The honest synthesis: the 10b5-1 framing reduces the informational content of individual transactions, but the SCALE of selling — CEO liquidating 36% of his stake, CCO liquidating 90% — is notable even under pre-arranged plans. These plans are typically set when executives have a constructive view of the business but want to diversify; the fact that Mosley retains 319,380 shares worth ~$285M at current prices suggests he is not exiting the position, merely reducing concentration. This is a yellow flag, not a red one, but it belongs in the risk register.</w:t>
      </w:r>
    </w:p>
    <w:p>
      <w:pPr>
        <w:pStyle w:val="ListBullet"/>
      </w:pPr>
      <w:r>
        <w:rPr>
          <w:i/>
        </w:rPr>
        <w:t>→ Research [CONTRADICTS]: Form 4 filings show Mosley sold 30,000 shares on July 1, 2026 (20,657 + 9,343) at prices $890–$936/share, not $115.9M at $646.90/share. Sales confirmed under Rule 10b5-1 plan adopted February 18, 2026. (stocktitan.net)</w:t>
      </w:r>
    </w:p>
    <w:p>
      <w:pPr>
        <w:pStyle w:val="ListBullet"/>
      </w:pPr>
      <w:r>
        <w:rPr>
          <w:i/>
        </w:rPr>
        <w:t>→ Research: Search confirms high institutional ownership (94% of shares) and recent significant insider selling. Q3 2025 13F filings show major hedge fund activity: JPMorgan removed 4.76M shares (-25.5%), FMR removed 4.43M shares (-69.1%), while WCM added 5.18M shares. CEO Mosley sold 9,343 shares July 1, 2026 under pre-arranged plan; insiders collectively sold $214M more than bought in 12 months. Thesis-rele (quiverquant.com)</w:t>
      </w:r>
    </w:p>
    <w:p>
      <w:r>
        <w:t>The macro context is largely irrelevant to STX's near-term thesis — the company's revenue is driven by cloud CapEx, not consumer spending. The 4.2% headline CPI and 13.1% PPI YoY (FRED data) are worth noting as potential cost pressures on Seagate's manufacturing inputs (rare earth materials, precision components), but management has not flagged input cost inflation as a margin headwind in any of the three recent earnings calls. The 3.63% Fed funds rate (down 16.2% YoY) is a mild tailwind for cloud CapEx financing costs but is not a primary driver. The credit regime is risk-on (HY net buying per FINRA data), which supports the multiple expansion narrative but is not a fundamental driver.</w:t>
      </w:r>
    </w:p>
    <w:p>
      <w:r>
        <w:t>The bear case to our thesis deserves honest treatment. The strongest bear argument is not that demand is weak — it is that the current pricing environment is a temporary supply-demand imbalance that will normalize as Western Digital completes its own HAMR transition (WDC stock fell 10% on July 4 per the news feed, suggesting its own execution challenges, which is actually a near-term STX positive) and as Seagate's own capacity additions via aerial density improvements bring more exabytes to market. Management acknowledged on the Q2 FY2026 call that 'flat to slightly up' pricing per terabyte is 'certainly possible' — but the base case remains stable, not rising. If pricing per terabyte declines even modestly (say -5% YoY) while exabyte volume grows 25%, revenue growth would be approximately 19% — at the low end of the 'minimum 20%' target. The margin bear case is that Mosaic-4 qualification and ramp costs in FY2027 could temporarily compress gross margins, as new product transitions historically carry higher scrap rates and lower yields in early production. The Q3 FY2026 call noted that 'through some of these product transitions, we actually lose a little bit of capacity because the process content is a little higher' — a direct admission that transitions carry near-term efficiency costs. The mispricing exists because the market is applying a hardware-cycle multiple to what is increasingly a contracted-infrastructure business — but the resolution catalyst is the Q4 FY2026 earnings print (expected late July/early August 2026), where a beat-and-raise on both revenue and margin guidance would confirm the structural thesis and likely force multiple expansion.</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$5.08</w:t>
            </w:r>
          </w:p>
        </w:tc>
        <w:tc>
          <w:tcPr>
            <w:tcW w:type="dxa" w:w="3264"/>
            <w:tcBorders>
              <w:top w:val="single" w:sz="4" w:color="BDC3C7"/>
              <w:bottom w:val="single" w:sz="4" w:color="BDC3C7"/>
              <w:left w:val="single" w:sz="4" w:color="BDC3C7"/>
              <w:right w:val="single" w:sz="4" w:color="BDC3C7"/>
            </w:tcBorders>
          </w:tcPr>
          <w:p>
            <w:r>
              <w:t>$3,482M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$5.68</w:t>
            </w:r>
          </w:p>
        </w:tc>
        <w:tc>
          <w:tcPr>
            <w:tcW w:type="dxa" w:w="3264"/>
            <w:tcBorders>
              <w:top w:val="single" w:sz="4" w:color="BDC3C7"/>
              <w:bottom w:val="single" w:sz="4" w:color="BDC3C7"/>
              <w:left w:val="single" w:sz="4" w:color="BDC3C7"/>
              <w:right w:val="single" w:sz="4" w:color="BDC3C7"/>
            </w:tcBorders>
          </w:tcPr>
          <w:p>
            <w:r>
              <w:t>$3,712M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$14.89</w:t>
            </w:r>
          </w:p>
        </w:tc>
        <w:tc>
          <w:tcPr>
            <w:tcW w:type="dxa" w:w="3264"/>
            <w:tcBorders>
              <w:top w:val="single" w:sz="4" w:color="BDC3C7"/>
              <w:bottom w:val="single" w:sz="4" w:color="BDC3C7"/>
              <w:left w:val="single" w:sz="4" w:color="BDC3C7"/>
              <w:right w:val="single" w:sz="4" w:color="BDC3C7"/>
            </w:tcBorders>
          </w:tcPr>
          <w:p>
            <w:r>
              <w:t>$12,050M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$27.26</w:t>
            </w:r>
          </w:p>
        </w:tc>
        <w:tc>
          <w:tcPr>
            <w:tcW w:type="dxa" w:w="3264"/>
            <w:tcBorders>
              <w:top w:val="single" w:sz="4" w:color="BDC3C7"/>
              <w:bottom w:val="single" w:sz="4" w:color="BDC3C7"/>
              <w:left w:val="single" w:sz="4" w:color="BDC3C7"/>
              <w:right w:val="single" w:sz="4" w:color="BDC3C7"/>
            </w:tcBorders>
          </w:tcPr>
          <w:p>
            <w:r>
              <w:t>$16,692M</w:t>
            </w:r>
          </w:p>
        </w:tc>
      </w:tr>
    </w:tbl>
    <w:p>
      <w:pPr>
        <w:pStyle w:val="SubHeading"/>
      </w:pPr>
      <w:r>
        <w:t>Management guidance:</w:t>
      </w:r>
    </w:p>
    <w:p>
      <w:pPr>
        <w:pStyle w:val="ListBullet"/>
      </w:pPr>
      <w:r>
        <w:t>EPS (Q1 FY2026 (actual/illustrative reference)): approximately 7 million shares  — Deck p.1</w:t>
      </w:r>
    </w:p>
    <w:p>
      <w:pPr>
        <w:pStyle w:val="ListBullet"/>
      </w:pPr>
      <w:r>
        <w:t>Exchangeable Senior Notes Due 2028 Adjusted Exchange Price (ongoing (structural parameter)): approximately $82.42 per share  — Deck p.1</w:t>
      </w:r>
    </w:p>
    <w:p>
      <w:pPr>
        <w:pStyle w:val="ListBullet"/>
      </w:pPr>
      <w:r>
        <w:t>Capped Call Transactions Adjusted Cap Price (ongoing (structural parameter)): $107.785 per share  — Deck p.1</w:t>
      </w:r>
    </w:p>
    <w:p>
      <w:pPr>
        <w:pStyle w:val="ListBullet"/>
      </w:pPr>
      <w:r>
        <w:t>EPS (forward-looking / illustrative): 2,390 thousand shares (net dilutive, non-GAAP EPS)  — Deck p.2</w:t>
      </w:r>
    </w:p>
    <w:p>
      <w:pPr>
        <w:pStyle w:val="ListBullet"/>
      </w:pPr>
      <w:r>
        <w:t>Capped Call Notional Value Remaining Post 500M Retirement (ongoing (structural parameter, as of November 12, 2025)): $1.5B notional value  — Deck p.1</w:t>
      </w:r>
    </w:p>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$27.26</w:t>
            </w:r>
          </w:p>
        </w:tc>
        <w:tc>
          <w:tcPr>
            <w:tcW w:type="dxa" w:w="1632"/>
            <w:tcBorders>
              <w:top w:val="single" w:sz="4" w:color="BDC3C7"/>
              <w:bottom w:val="single" w:sz="4" w:color="BDC3C7"/>
              <w:left w:val="single" w:sz="4" w:color="BDC3C7"/>
              <w:right w:val="single" w:sz="4" w:color="BDC3C7"/>
            </w:tcBorders>
          </w:tcPr>
          <w:p>
            <w:r>
              <w:t>$34.00</w:t>
            </w:r>
          </w:p>
        </w:tc>
        <w:tc>
          <w:tcPr>
            <w:tcW w:type="dxa" w:w="1632"/>
            <w:tcBorders>
              <w:top w:val="single" w:sz="4" w:color="BDC3C7"/>
              <w:bottom w:val="single" w:sz="4" w:color="BDC3C7"/>
              <w:left w:val="single" w:sz="4" w:color="BDC3C7"/>
              <w:right w:val="single" w:sz="4" w:color="BDC3C7"/>
            </w:tcBorders>
          </w:tcPr>
          <w:p>
            <w:r>
              <w:t>+6.74</w:t>
            </w:r>
          </w:p>
        </w:tc>
        <w:tc>
          <w:tcPr>
            <w:tcW w:type="dxa" w:w="1632"/>
            <w:tcBorders>
              <w:top w:val="single" w:sz="4" w:color="BDC3C7"/>
              <w:bottom w:val="single" w:sz="4" w:color="BDC3C7"/>
              <w:left w:val="single" w:sz="4" w:color="BDC3C7"/>
              <w:right w:val="single" w:sz="4" w:color="BDC3C7"/>
            </w:tcBorders>
          </w:tcPr>
          <w:p>
            <w:r>
              <w:t>synthesis</w:t>
            </w:r>
          </w:p>
        </w:tc>
      </w:tr>
    </w:tbl>
    <w:p>
      <w:pPr>
        <w:pStyle w:val="SubHeading"/>
      </w:pPr>
      <w:r>
        <w:t>Claim 1 — consensus_next_fy_eps</w:t>
      </w:r>
    </w:p>
    <w:p>
      <w:r>
        <w:t>Consensus FY2027 EPS of $27.26 embeds an operating margin assumption of approximately 38-40% non-GAAP, but the actual Q3 FY2026 non-GAAP operating margin already reached 37.5% and management guided Q4 FY2026 to 'lower 40% range' — meaning the FY2027 starting point is already at or above what consensus models as the FY2027 exit rate. With Mosaic-4 mix-shift providing a second leg of gross margin expansion and the 'minimum 20%' revenue growth floor implying $14.5-16.7B FY2027 revenue, non-GAAP operating margins of 42-44% on $16B revenue generate EPS of $33-36, not $27.</w:t>
      </w:r>
    </w:p>
    <w:p>
      <w:r>
        <w:t>Street anchor: $27.26 (yfinance consensus) → Our view: $34.00</w:t>
      </w:r>
    </w:p>
    <w:p>
      <w:pPr>
        <w:pStyle w:val="PullQuote"/>
      </w:pPr>
      <w:r>
        <w:t>“Based on the midpoint of our revenue guidance, Non-GAAP operating margin is expected to be in the lower 40% range.”  (transcript)</w:t>
      </w:r>
    </w:p>
    <w:p>
      <w:pPr>
        <w:pStyle w:val="PullQuote"/>
      </w:pPr>
      <w:r>
        <w:t>“we are executing a little bit better than what we discussed at our investor day, where we presented a model with a 50% incremental margin above a $2.6 billion of revenue. We have done better every quarter.”  (transcript)</w:t>
      </w:r>
    </w:p>
    <w:p>
      <w:pPr>
        <w:pStyle w:val="PullQuote"/>
      </w:pPr>
      <w:r>
        <w:t>“The progress we have made gives us confidence to significantly increase our annual revenue growth target from the low to mid teens to a minimum of 20% over the next few years.”  (transcript)</w:t>
      </w:r>
    </w:p>
    <w:p>
      <w:r>
        <w:t>Why not consensus: Sell-side analysts are anchoring FY2027 margin to the investor-day model (50% incremental above $2.6B quarterly) rather than the actual realized incremental margins of 80-95%+ in recent quarters; they are also not fully reflecting the Mosaic-4 mix-shift tailwind that management confirmed is on track for Q4 FY2026 completion with the two largest CSPs, which sets up a second-leg margin expansion in FY2027 that is not yet in consensus models.</w:t>
      </w:r>
    </w:p>
    <w:p>
      <w:pPr>
        <w:pStyle w:val="KillCriteria"/>
      </w:pPr>
      <w:r>
        <w:t>Falsifier: If Q4 FY2026 non-GAAP operating margin prints below 39% (below the 'lower 40% range' guide) or if management guides FY2027 operating margin below 40% on the Q4 earnings call, the margin expansion thesis is broken.</w:t>
      </w:r>
    </w:p>
    <w:p>
      <w:pPr>
        <w:pStyle w:val="ListBullet2"/>
      </w:pPr>
      <w:r>
        <w:rPr>
          <w:i/>
        </w:rPr>
        <w:t>→ Research confirms: Seagate's Q3 FY2026 non-GAAP operating margin reached exactly 37.5% as stated. Management guided Q4 FY2026 operating margin to the lower 40% range, confirming the forward guidance component of the claim. (sec.gov)</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 Growth</w:t>
            </w:r>
          </w:p>
        </w:tc>
        <w:tc>
          <w:tcPr>
            <w:tcW w:type="dxa" w:w="2448"/>
            <w:tcBorders>
              <w:top w:val="single" w:sz="4" w:color="BDC3C7"/>
              <w:bottom w:val="single" w:sz="4" w:color="BDC3C7"/>
              <w:left w:val="single" w:sz="4" w:color="BDC3C7"/>
              <w:right w:val="single" w:sz="4" w:color="BDC3C7"/>
            </w:tcBorders>
          </w:tcPr>
          <w:p>
            <w:r>
              <w:rPr>
                <w:b/>
              </w:rPr>
              <w:t>+15.60%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Nearline exabyte volume growth</w:t>
            </w:r>
          </w:p>
        </w:tc>
        <w:tc>
          <w:tcPr>
            <w:tcW w:type="dxa" w:w="2448"/>
            <w:tcBorders>
              <w:top w:val="single" w:sz="4" w:color="BDC3C7"/>
              <w:bottom w:val="single" w:sz="4" w:color="BDC3C7"/>
              <w:left w:val="single" w:sz="4" w:color="BDC3C7"/>
              <w:right w:val="single" w:sz="4" w:color="BDC3C7"/>
            </w:tcBorders>
          </w:tcPr>
          <w:p>
            <w:r>
              <w:t>+15.00%</w:t>
            </w:r>
          </w:p>
        </w:tc>
        <w:tc>
          <w:tcPr>
            <w:tcW w:type="dxa" w:w="2448"/>
            <w:tcBorders>
              <w:top w:val="single" w:sz="4" w:color="BDC3C7"/>
              <w:bottom w:val="single" w:sz="4" w:color="BDC3C7"/>
              <w:left w:val="single" w:sz="4" w:color="BDC3C7"/>
              <w:right w:val="single" w:sz="4" w:color="BDC3C7"/>
            </w:tcBorders>
          </w:tcPr>
          <w:p>
            <w:r>
              <w:t>0.70</w:t>
            </w:r>
          </w:p>
        </w:tc>
        <w:tc>
          <w:tcPr>
            <w:tcW w:type="dxa" w:w="2448"/>
            <w:tcBorders>
              <w:top w:val="single" w:sz="4" w:color="BDC3C7"/>
              <w:bottom w:val="single" w:sz="4" w:color="BDC3C7"/>
              <w:left w:val="single" w:sz="4" w:color="BDC3C7"/>
              <w:right w:val="single" w:sz="4" w:color="BDC3C7"/>
            </w:tcBorders>
          </w:tcPr>
          <w:p>
            <w:r>
              <w:t>In the Q2 FY2026 call, management stated 'we expect near-line exabytes to grow in the mid-20%' for the long-term model, and Q3 FY2026 exabyte shipments were 199EB, up 39% YoY — running ahead of the mid-20% target. The Q3</w:t>
            </w:r>
          </w:p>
        </w:tc>
      </w:tr>
      <w:tr>
        <w:tc>
          <w:tcPr>
            <w:tcW w:type="dxa" w:w="2448"/>
            <w:tcBorders>
              <w:top w:val="single" w:sz="4" w:color="BDC3C7"/>
              <w:bottom w:val="single" w:sz="4" w:color="BDC3C7"/>
              <w:left w:val="single" w:sz="4" w:color="BDC3C7"/>
              <w:right w:val="single" w:sz="4" w:color="BDC3C7"/>
            </w:tcBorders>
          </w:tcPr>
          <w:p>
            <w:r>
              <w:t xml:space="preserve">    Revenue per terabyte change</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Management stated on the Q2 FY2026 call that 'revenue per terabyte sold has remained relatively stable' and on the Q1 FY2026 call that 'flat to slightly up is certainly possible' for pricing per terabyte. The build-to-or</w:t>
            </w:r>
          </w:p>
        </w:tc>
      </w:tr>
    </w:tbl>
    <w:p>
      <w:pPr>
        <w:pStyle w:val="SubHeading"/>
      </w:pPr>
      <w:r>
        <w:t>Bear revisions:</w:t>
      </w:r>
    </w:p>
    <w:p>
      <w:pPr>
        <w:pStyle w:val="ListBullet"/>
      </w:pPr>
      <w:r>
        <w:t>Revenue Growth.Nearline exabyte volume growth: 25.0 → 15.0 — If cloud CapEx growth decelerates in calendar 2027 (e.g., due to AI ROI concerns, macro slowdown, or a pause in hyperscaler infrastructure investment), exabyte volume growth could slow to 15% — the low end of the mid-20% target range. This would reduce FY2027 revenue to approximately $13.8B and compress EPS to approximately $25-27, below consensus.</w:t>
      </w:r>
    </w:p>
    <w:p>
      <w:pPr>
        <w:pStyle w:val="ListBullet"/>
      </w:pPr>
      <w:r>
        <w:t>Revenue Growth.Revenue per terabyte change: 1.0 → -3.0 — If Western Digital completes its own HAMR transition in FY2027 (WDC's execution challenges noted in the July 4 news item suggest this is delayed but not abandoned), increased competitive supply could pressure pricing per terabyte by -3% to -5%, partially offsetting exabyte volume growth and compressing revenue growth toward the 20% floor.</w:t>
      </w:r>
    </w:p>
    <w:p>
      <w:pPr>
        <w:pStyle w:val="SubHeading"/>
      </w:pPr>
      <w:r>
        <w:t>Comp decomposition check:</w:t>
      </w:r>
    </w:p>
    <w:p>
      <w:pPr>
        <w:pStyle w:val="ListBullet"/>
      </w:pPr>
      <w:r>
        <w:t>Schema mismatch: peer comps fit 'software' but the brief picked 'general'. The mechanical model will use generic defaults; final EPS may be unreliable.</w:t>
      </w:r>
    </w:p>
    <w:p>
      <w:pPr>
        <w:pStyle w:val="ListBullet"/>
      </w:pPr>
      <w:r>
        <w:t>Thin brief drivers (1 drivers / 2 components) on schema 'general'. The mechanical model and edge variant back-solve may be unreliable.</w:t>
      </w:r>
    </w:p>
    <w:p>
      <w:pPr>
        <w:pStyle w:val="SectionHeading"/>
      </w:pPr>
      <w:r>
        <w:t>3. Consensus Gap &amp; Valuation</w:t>
      </w:r>
    </w:p>
    <w:p>
      <w:r>
        <w:t>Our EPS: $14.89  =  baseline $14.89  +  Σ claim impacts $+0.00 (0.0% below consensus $14.89)</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$14.89</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$14.89</w:t>
            </w:r>
          </w:p>
        </w:tc>
      </w:tr>
    </w:tbl>
    <w:p>
      <w:pPr>
        <w:pStyle w:val="PullQuote"/>
      </w:pPr>
      <w:r>
        <w:t xml:space="preserve">  ⚠ 1 claim(s) target a different fiscal period than the current_fy baseline and weren't summed: consensus_next_fy_eps</w:t>
      </w:r>
    </w:p>
    <w:p>
      <w:r>
        <w:t>Our estimate is $0.00 (0.0%) below consensus $14.89. Primary driver: Revenue Growth.Revenue per terabyte change (ours +0.6 vs street +9.3, contributing $-1.566 to EPS variant, evidence: moderate). Variant appears within market noise -- may already be priced in. Next catalyst: Next quarterly earnings report (2026-07-28 (22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 Growth.Revenue per terabyte change</w:t>
            </w:r>
          </w:p>
        </w:tc>
        <w:tc>
          <w:tcPr>
            <w:tcW w:type="dxa" w:w="1958"/>
            <w:tcBorders>
              <w:top w:val="single" w:sz="4" w:color="BDC3C7"/>
              <w:bottom w:val="single" w:sz="4" w:color="BDC3C7"/>
              <w:left w:val="single" w:sz="4" w:color="BDC3C7"/>
              <w:right w:val="single" w:sz="4" w:color="BDC3C7"/>
            </w:tcBorders>
          </w:tcPr>
          <w:p>
            <w:r>
              <w:t>+0.60</w:t>
            </w:r>
          </w:p>
        </w:tc>
        <w:tc>
          <w:tcPr>
            <w:tcW w:type="dxa" w:w="1958"/>
            <w:tcBorders>
              <w:top w:val="single" w:sz="4" w:color="BDC3C7"/>
              <w:bottom w:val="single" w:sz="4" w:color="BDC3C7"/>
              <w:left w:val="single" w:sz="4" w:color="BDC3C7"/>
              <w:right w:val="single" w:sz="4" w:color="BDC3C7"/>
            </w:tcBorders>
          </w:tcPr>
          <w:p>
            <w:r>
              <w:t>+9.30</w:t>
            </w:r>
          </w:p>
        </w:tc>
        <w:tc>
          <w:tcPr>
            <w:tcW w:type="dxa" w:w="1958"/>
            <w:tcBorders>
              <w:top w:val="single" w:sz="4" w:color="BDC3C7"/>
              <w:bottom w:val="single" w:sz="4" w:color="BDC3C7"/>
              <w:left w:val="single" w:sz="4" w:color="BDC3C7"/>
              <w:right w:val="single" w:sz="4" w:color="BDC3C7"/>
            </w:tcBorders>
          </w:tcPr>
          <w:p>
            <w:r>
              <w:t>-1.566</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Revenue Growth.Nearline exabyte volume growth</w:t>
            </w:r>
          </w:p>
        </w:tc>
        <w:tc>
          <w:tcPr>
            <w:tcW w:type="dxa" w:w="1958"/>
            <w:tcBorders>
              <w:top w:val="single" w:sz="4" w:color="BDC3C7"/>
              <w:bottom w:val="single" w:sz="4" w:color="BDC3C7"/>
              <w:left w:val="single" w:sz="4" w:color="BDC3C7"/>
              <w:right w:val="single" w:sz="4" w:color="BDC3C7"/>
            </w:tcBorders>
          </w:tcPr>
          <w:p>
            <w:r>
              <w:t>+15.00</w:t>
            </w:r>
          </w:p>
        </w:tc>
        <w:tc>
          <w:tcPr>
            <w:tcW w:type="dxa" w:w="1958"/>
            <w:tcBorders>
              <w:top w:val="single" w:sz="4" w:color="BDC3C7"/>
              <w:bottom w:val="single" w:sz="4" w:color="BDC3C7"/>
              <w:left w:val="single" w:sz="4" w:color="BDC3C7"/>
              <w:right w:val="single" w:sz="4" w:color="BDC3C7"/>
            </w:tcBorders>
          </w:tcPr>
          <w:p>
            <w:r>
              <w:t>+23.70</w:t>
            </w:r>
          </w:p>
        </w:tc>
        <w:tc>
          <w:tcPr>
            <w:tcW w:type="dxa" w:w="1958"/>
            <w:tcBorders>
              <w:top w:val="single" w:sz="4" w:color="BDC3C7"/>
              <w:bottom w:val="single" w:sz="4" w:color="BDC3C7"/>
              <w:left w:val="single" w:sz="4" w:color="BDC3C7"/>
              <w:right w:val="single" w:sz="4" w:color="BDC3C7"/>
            </w:tcBorders>
          </w:tcPr>
          <w:p>
            <w:r>
              <w:t>-1.566</w:t>
            </w:r>
          </w:p>
        </w:tc>
        <w:tc>
          <w:tcPr>
            <w:tcW w:type="dxa" w:w="1958"/>
            <w:tcBorders>
              <w:top w:val="single" w:sz="4" w:color="BDC3C7"/>
              <w:bottom w:val="single" w:sz="4" w:color="BDC3C7"/>
              <w:left w:val="single" w:sz="4" w:color="BDC3C7"/>
              <w:right w:val="single" w:sz="4" w:color="BDC3C7"/>
            </w:tcBorders>
          </w:tcPr>
          <w:p>
            <w:r>
              <w:t>0.60</w:t>
            </w:r>
          </w:p>
        </w:tc>
      </w:tr>
    </w:tbl>
    <w:p>
      <w:r>
        <w:t>Priced in: likely — Variant (+0.0%) within implied move noise (8.1%)</w:t>
      </w:r>
    </w:p>
    <w:p>
      <w:r>
        <w:t>Edge verdict: NO_CLEAR_EDGE (score 0.000).</w:t>
      </w:r>
    </w:p>
    <w:p>
      <w:pPr>
        <w:pStyle w:val="SectionHeading"/>
      </w:pPr>
      <w:r>
        <w:t>4. Catalysts</w:t>
      </w:r>
    </w:p>
    <w:p>
      <w:pPr>
        <w:pStyle w:val="ListBullet"/>
      </w:pPr>
      <w:r>
        <w:t>Next quarterly earnings report (2026-07-28 (22 days)) — resolves revenue + margins + guidance; confirms or challenges</w:t>
      </w:r>
    </w:p>
    <w:p>
      <w:pPr>
        <w:pStyle w:val="ListBullet"/>
      </w:pPr>
      <w:r>
        <w:t>Resolution: Gross margin expansion is durable and will continue to 43-45% GAAP in FY2027 dri (Multi-year thesis -- patience required) — resolves Gross Margin Expansion; confirms or challenges</w:t>
      </w:r>
    </w:p>
    <w:p>
      <w:pPr>
        <w:pStyle w:val="ListBullet"/>
      </w:pPr>
      <w:r>
        <w:t>Resolution: Revenue growth of 26% in FY2027 is supported by contractual visibility through f (Multi-year thesis -- patience required) — resolves Revenue Growth; confirms or challenges</w:t>
      </w:r>
    </w:p>
    <w:p>
      <w:pPr>
        <w:pStyle w:val="ListBullet"/>
      </w:pPr>
      <w:r>
        <w:t>Resolution: Insider selling is routine 10b5-1 diversification and not a negative signal (Multi-year thesis -- patience required) — resolves Revenue Growth; confirms or challenges</w:t>
      </w:r>
    </w:p>
    <w:p>
      <w:pPr>
        <w:pStyle w:val="ListBullet"/>
      </w:pPr>
      <w:r>
        <w:t>Specific FY2027 revenue guidance from management — the 'minimum 20%' target is a floor, not a point  (Unknown timing) — resolves multiple; resolves uncertainty</w:t>
      </w:r>
    </w:p>
    <w:p>
      <w:pPr>
        <w:pStyle w:val="ListBullet"/>
      </w:pPr>
      <w:r>
        <w:t>Mosaic-4 production yield data and early ramp cost structure — management has confirmed qualificatio (Unknown timing) — resolves multiple; resolves uncertainty</w:t>
      </w:r>
    </w:p>
    <w:p>
      <w:pPr>
        <w:pStyle w:val="SectionHeading"/>
      </w:pPr>
      <w:r>
        <w:t>5. Risks, Blind Spots &amp; Kill Criteria</w:t>
      </w:r>
    </w:p>
    <w:p>
      <w:pPr>
        <w:pStyle w:val="SubHeading"/>
      </w:pPr>
      <w:r>
        <w:t>Top risks:</w:t>
      </w:r>
    </w:p>
    <w:p>
      <w:pPr>
        <w:pStyle w:val="ListBullet"/>
      </w:pPr>
      <w:r>
        <w:t>Gross margin expansion is durable and will continue to 43-45% GAAP in FY2027 driven by Mosaic-4 mix-shift — counter: Q3 FY2026 GAAP gross margin of 46.5% already reflects a very high level of HAMR penetration (Mosaic drives shipped to 75% of leading global cloud customers in Q3 FY2026); the incremental benefit from completing the remaining 25% of CSP qualifications is smaller than the initial ramp, and Mosaic-4 transition costs could temporarily compress margins in early FY2027 quarters. Management's own language — 'we actually lose a little bit of capacity because the process content is a little higher' — is a direct admission of near-term transition headwinds. [moderate]</w:t>
      </w:r>
    </w:p>
    <w:p>
      <w:pPr>
        <w:pStyle w:val="ListBullet"/>
      </w:pPr>
      <w:r>
        <w:t>Revenue growth of 26% in FY2027 is supported by contractual visibility through fiscal 2027 — counter: Management's statement that 'nearline capacity almost fully allocated through calendar 2027' refers to capacity allocation, not revenue contracts at specific prices. The build-to-order contracts 'through end of fiscal 2027' define configuration and pricing, but if cloud CapEx slows (e.g., due to AI ROI concerns or macro deterioration), customers could reduce order volumes within the contracted framework. The $1.1T CSP RPO figure is a demand indicator, not a Seagate-specific revenue commitment. [moderate]</w:t>
      </w:r>
    </w:p>
    <w:p>
      <w:pPr>
        <w:pStyle w:val="ListBullet"/>
      </w:pPr>
      <w:r>
        <w:t>Insider selling is routine 10b5-1 diversification and not a negative signal — counter: CEO Mosley sold 35.9% of his pre-sale stake ($115.9M) and CCO Teh sold 90% of his stake ($23.5M) over the past 180 days. The scale of the CCO's liquidation — 90% of his position — is unusual even under 10b5-1 plans and suggests a level of personal conviction about near-term upside that is at odds with the bull thesis. 62 insider sells and 0 buys over the past year is a statistically notable pattern. [moderate]</w:t>
      </w:r>
    </w:p>
    <w:p>
      <w:pPr>
        <w:pStyle w:val="ListBullet2"/>
      </w:pPr>
      <w:r>
        <w:rPr>
          <w:i/>
        </w:rPr>
        <w:t>→ Research [CONTRADICTS]: SEC filings show Teh Ban Seng sold 38,156 shares for ~$22.9M across 28 transactions, not a single 90% liquidation event. Most recent holdings (June 2026) show 4,290 shares directly held plus 5,545 RSUs. Sales executed under pre-arranged Rule 10b5-1 trading plans adopted Feb 2026, indicating routine equity compensation vesting, not a discrete 90% stake liquidation. (quiverquant.com)</w:t>
      </w:r>
    </w:p>
    <w:p>
      <w:pPr>
        <w:pStyle w:val="KillCriteria"/>
      </w:pPr>
      <w:r>
        <w:t>What would change our mind: Print on Revenue Growth.Revenue per terabyte change comes in above our +0.6 figure (toward street +9.3) in the next 1-2 prints.</w:t>
      </w:r>
    </w:p>
    <w:p>
      <w:pPr>
        <w:pStyle w:val="SectionHeading"/>
      </w:pPr>
      <w:r>
        <w:t>Appendix</w:t>
      </w:r>
    </w:p>
    <w:p>
      <w:pPr>
        <w:pStyle w:val="SubHeading"/>
      </w:pPr>
      <w:r>
        <w:t>Business context:</w:t>
      </w:r>
    </w:p>
    <w:p>
      <w:r>
        <w:t>Seagate Technology Holdings is the world's largest dedicated hard disk drive (HDD) manufacturer, generating revenue primarily from the design and sale of high-capacity nearline HDDs into cloud data centers, enterprise storage, and consumer/legacy markets. The company's economics are driven by exabyte shipment volume, average capacity per drive (currently ~23TB nearline, ramping toward 30TB+ via HAMR/Mosaic platform), and revenue per terabyte — a function of supply discipline and pricing strategy.</w:t>
      </w:r>
    </w:p>
    <w:p>
      <w:pPr>
        <w:pStyle w:val="SubHeading"/>
      </w:pPr>
      <w:r>
        <w:t>Evidence gaps (research TODO):</w:t>
      </w:r>
    </w:p>
    <w:p>
      <w:pPr>
        <w:pStyle w:val="ListBullet"/>
      </w:pPr>
      <w:r>
        <w:t>Specific FY2027 revenue guidance from management — the 'minimum 20%' target is a floor, not a point estimate; Q4 FY2026 earnings call (expected late July/early August 2026) may provide more specific FY2027 guidance</w:t>
      </w:r>
    </w:p>
    <w:p>
      <w:pPr>
        <w:pStyle w:val="ListBullet"/>
      </w:pPr>
      <w:r>
        <w:t>Mosaic-4 production yield data and early ramp cost structure — management has confirmed qualification timelines but has not disclosed yield rates or per-unit cost differentials vs. Mosaic-3</w:t>
      </w:r>
    </w:p>
    <w:p>
      <w:pPr>
        <w:pStyle w:val="ListBullet"/>
      </w:pPr>
      <w:r>
        <w:t>Western Digital HAMR transition timeline — WDC's competitive positioning in FY2027 is the key supply-side variable; WDC's own earnings call would provide the most direct read</w:t>
      </w:r>
    </w:p>
    <w:p>
      <w:pPr>
        <w:pStyle w:val="ListBullet"/>
      </w:pPr>
      <w:r>
        <w:t>Specific pricing terms in the build-to-order contracts through fiscal 2027 — management has confirmed contracts exist but has not disclosed whether pricing is fixed, indexed, or subject to renegotiation</w:t>
      </w:r>
    </w:p>
    <w:p>
      <w:pPr>
        <w:pStyle w:val="ListBullet"/>
      </w:pPr>
      <w:r>
        <w:t>Tax rate trajectory — FY2025 GAAP tax rate of 2.9% is anomalously low (likely reflecting Irish tax structure and deferred tax assets); the non-GAAP tax rate of ~16% is the operative rate for EPS modeling, but any normalization toward statutory rates would be a significant EPS headwind</w:t>
      </w:r>
    </w:p>
    <w:p>
      <w:pPr>
        <w:pStyle w:val="ListBullet"/>
      </w:pPr>
      <w:r>
        <w:t>Remaining convertible note principal after May 2026 retirement — the deck discloses three retirements totaling ~$1.286B, implying ~$214M remaining, but the exact figure and any subsequent retirements are not confirmed in the corpus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