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w:t>
      </w:r>
    </w:p>
    <w:p>
      <w:pPr>
        <w:pStyle w:val="SmallMeta"/>
      </w:pPr>
      <w:r>
        <w:t>As of 2026-04-28  |  Schema: franchise_restaurant  |  Data: polygon+alpha_vantage (FY2025)</w:t>
      </w:r>
    </w:p>
    <w:p>
      <w:pPr>
        <w:pStyle w:val="SubHeading"/>
      </w:pPr>
      <w:r>
        <w:rPr>
          <w:color w:val="8C1D40"/>
        </w:rPr>
        <w:t>Direction: SHORT | Current: $172.97</w:t>
      </w:r>
    </w:p>
    <w:p>
      <w:pPr>
        <w:pStyle w:val="SubHeading"/>
      </w:pPr>
      <w:r>
        <w:t>Summary</w:t>
      </w:r>
    </w:p>
    <w:p>
      <w:pPr>
        <w:pStyle w:val="ListBullet"/>
      </w:pPr>
      <w:r>
        <w:t>Thesis: Consensus FY26 EPS of $5.73 (+25.6% growth) appears too optimistic given management's cautious 'flat to low single-digit' same-store sales guidance and our analysis suggesting unit growth will decelerate from 15-16% guided levels.</w:t>
      </w:r>
    </w:p>
    <w:p>
      <w:pPr>
        <w:pStyle w:val="ListBullet"/>
      </w:pPr>
      <w:r>
        <w:t>Next catalyst: Next quarterly earnings report (2026-04-29 (1 days))</w:t>
      </w:r>
    </w:p>
    <w:p>
      <w:pPr>
        <w:pStyle w:val="ListBullet"/>
      </w:pPr>
      <w:r>
        <w:t>Top risk: Unit growth can sustain at 15%+ levels indefinitely</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5 finding(s) — cited→inferred: 5</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$1.03</w:t>
            </w:r>
          </w:p>
        </w:tc>
        <w:tc>
          <w:tcPr>
            <w:tcW w:type="dxa" w:w="1399"/>
            <w:tcBorders>
              <w:top w:val="single" w:sz="4" w:color="BDC3C7"/>
              <w:bottom w:val="single" w:sz="4" w:color="BDC3C7"/>
              <w:left w:val="single" w:sz="4" w:color="BDC3C7"/>
              <w:right w:val="single" w:sz="4" w:color="BDC3C7"/>
            </w:tcBorders>
          </w:tcPr>
          <w:p>
            <w:r>
              <w:t>$0.92 – $1.14</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-0.1%</w:t>
            </w:r>
          </w:p>
        </w:tc>
        <w:tc>
          <w:tcPr>
            <w:tcW w:type="dxa" w:w="1399"/>
            <w:tcBorders>
              <w:top w:val="single" w:sz="4" w:color="BDC3C7"/>
              <w:bottom w:val="single" w:sz="4" w:color="BDC3C7"/>
              <w:left w:val="single" w:sz="4" w:color="BDC3C7"/>
              <w:right w:val="single" w:sz="4" w:color="BDC3C7"/>
            </w:tcBorders>
          </w:tcPr>
          <w:p>
            <w:r>
              <w:t>↓ -0.040</w:t>
            </w:r>
          </w:p>
        </w:tc>
        <w:tc>
          <w:tcPr>
            <w:tcW w:type="dxa" w:w="1399"/>
            <w:tcBorders>
              <w:top w:val="single" w:sz="4" w:color="BDC3C7"/>
              <w:bottom w:val="single" w:sz="4" w:color="BDC3C7"/>
              <w:left w:val="single" w:sz="4" w:color="BDC3C7"/>
              <w:right w:val="single" w:sz="4" w:color="BDC3C7"/>
            </w:tcBorders>
          </w:tcPr>
          <w:p>
            <w:r>
              <w:t>↑1 / ↓19</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$1.09</w:t>
            </w:r>
          </w:p>
        </w:tc>
        <w:tc>
          <w:tcPr>
            <w:tcW w:type="dxa" w:w="1399"/>
            <w:tcBorders>
              <w:top w:val="single" w:sz="4" w:color="BDC3C7"/>
              <w:bottom w:val="single" w:sz="4" w:color="BDC3C7"/>
              <w:left w:val="single" w:sz="4" w:color="BDC3C7"/>
              <w:right w:val="single" w:sz="4" w:color="BDC3C7"/>
            </w:tcBorders>
          </w:tcPr>
          <w:p>
            <w:r>
              <w:t>$0.90 – $1.14</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+8.9%</w:t>
            </w:r>
          </w:p>
        </w:tc>
        <w:tc>
          <w:tcPr>
            <w:tcW w:type="dxa" w:w="1399"/>
            <w:tcBorders>
              <w:top w:val="single" w:sz="4" w:color="BDC3C7"/>
              <w:bottom w:val="single" w:sz="4" w:color="BDC3C7"/>
              <w:left w:val="single" w:sz="4" w:color="BDC3C7"/>
              <w:right w:val="single" w:sz="4" w:color="BDC3C7"/>
            </w:tcBorders>
          </w:tcPr>
          <w:p>
            <w:r>
              <w:t>↓ -0.040</w:t>
            </w:r>
          </w:p>
        </w:tc>
        <w:tc>
          <w:tcPr>
            <w:tcW w:type="dxa" w:w="1399"/>
            <w:tcBorders>
              <w:top w:val="single" w:sz="4" w:color="BDC3C7"/>
              <w:bottom w:val="single" w:sz="4" w:color="BDC3C7"/>
              <w:left w:val="single" w:sz="4" w:color="BDC3C7"/>
              <w:right w:val="single" w:sz="4" w:color="BDC3C7"/>
            </w:tcBorders>
          </w:tcPr>
          <w:p>
            <w:r>
              <w:t>↑2 / ↓21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$4.56</w:t>
            </w:r>
          </w:p>
        </w:tc>
        <w:tc>
          <w:tcPr>
            <w:tcW w:type="dxa" w:w="1399"/>
            <w:tcBorders>
              <w:top w:val="single" w:sz="4" w:color="BDC3C7"/>
              <w:bottom w:val="single" w:sz="4" w:color="BDC3C7"/>
              <w:left w:val="single" w:sz="4" w:color="BDC3C7"/>
              <w:right w:val="single" w:sz="4" w:color="BDC3C7"/>
            </w:tcBorders>
          </w:tcPr>
          <w:p>
            <w:r>
              <w:t>$4.17 – $4.75</w:t>
            </w:r>
          </w:p>
        </w:tc>
        <w:tc>
          <w:tcPr>
            <w:tcW w:type="dxa" w:w="1399"/>
            <w:tcBorders>
              <w:top w:val="single" w:sz="4" w:color="BDC3C7"/>
              <w:bottom w:val="single" w:sz="4" w:color="BDC3C7"/>
              <w:left w:val="single" w:sz="4" w:color="BDC3C7"/>
              <w:right w:val="single" w:sz="4" w:color="BDC3C7"/>
            </w:tcBorders>
          </w:tcPr>
          <w:p>
            <w:r>
              <w:t>31</w:t>
            </w:r>
          </w:p>
        </w:tc>
        <w:tc>
          <w:tcPr>
            <w:tcW w:type="dxa" w:w="1399"/>
            <w:tcBorders>
              <w:top w:val="single" w:sz="4" w:color="BDC3C7"/>
              <w:bottom w:val="single" w:sz="4" w:color="BDC3C7"/>
              <w:left w:val="single" w:sz="4" w:color="BDC3C7"/>
              <w:right w:val="single" w:sz="4" w:color="BDC3C7"/>
            </w:tcBorders>
          </w:tcPr>
          <w:p>
            <w:r>
              <w:t>+11.8%</w:t>
            </w:r>
          </w:p>
        </w:tc>
        <w:tc>
          <w:tcPr>
            <w:tcW w:type="dxa" w:w="1399"/>
            <w:tcBorders>
              <w:top w:val="single" w:sz="4" w:color="BDC3C7"/>
              <w:bottom w:val="single" w:sz="4" w:color="BDC3C7"/>
              <w:left w:val="single" w:sz="4" w:color="BDC3C7"/>
              <w:right w:val="single" w:sz="4" w:color="BDC3C7"/>
            </w:tcBorders>
          </w:tcPr>
          <w:p>
            <w:r>
              <w:t>↓ -0.119</w:t>
            </w:r>
          </w:p>
        </w:tc>
        <w:tc>
          <w:tcPr>
            <w:tcW w:type="dxa" w:w="1399"/>
            <w:tcBorders>
              <w:top w:val="single" w:sz="4" w:color="BDC3C7"/>
              <w:bottom w:val="single" w:sz="4" w:color="BDC3C7"/>
              <w:left w:val="single" w:sz="4" w:color="BDC3C7"/>
              <w:right w:val="single" w:sz="4" w:color="BDC3C7"/>
            </w:tcBorders>
          </w:tcPr>
          <w:p>
            <w:r>
              <w:t>↑1 / ↓23</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$5.73</w:t>
            </w:r>
          </w:p>
        </w:tc>
        <w:tc>
          <w:tcPr>
            <w:tcW w:type="dxa" w:w="1399"/>
            <w:tcBorders>
              <w:top w:val="single" w:sz="4" w:color="BDC3C7"/>
              <w:bottom w:val="single" w:sz="4" w:color="BDC3C7"/>
              <w:left w:val="single" w:sz="4" w:color="BDC3C7"/>
              <w:right w:val="single" w:sz="4" w:color="BDC3C7"/>
            </w:tcBorders>
          </w:tcPr>
          <w:p>
            <w:r>
              <w:t>$5.17 – $6.20</w:t>
            </w:r>
          </w:p>
        </w:tc>
        <w:tc>
          <w:tcPr>
            <w:tcW w:type="dxa" w:w="1399"/>
            <w:tcBorders>
              <w:top w:val="single" w:sz="4" w:color="BDC3C7"/>
              <w:bottom w:val="single" w:sz="4" w:color="BDC3C7"/>
              <w:left w:val="single" w:sz="4" w:color="BDC3C7"/>
              <w:right w:val="single" w:sz="4" w:color="BDC3C7"/>
            </w:tcBorders>
          </w:tcPr>
          <w:p>
            <w:r>
              <w:t>31</w:t>
            </w:r>
          </w:p>
        </w:tc>
        <w:tc>
          <w:tcPr>
            <w:tcW w:type="dxa" w:w="1399"/>
            <w:tcBorders>
              <w:top w:val="single" w:sz="4" w:color="BDC3C7"/>
              <w:bottom w:val="single" w:sz="4" w:color="BDC3C7"/>
              <w:left w:val="single" w:sz="4" w:color="BDC3C7"/>
              <w:right w:val="single" w:sz="4" w:color="BDC3C7"/>
            </w:tcBorders>
          </w:tcPr>
          <w:p>
            <w:r>
              <w:t>+25.6%</w:t>
            </w:r>
          </w:p>
        </w:tc>
        <w:tc>
          <w:tcPr>
            <w:tcW w:type="dxa" w:w="1399"/>
            <w:tcBorders>
              <w:top w:val="single" w:sz="4" w:color="BDC3C7"/>
              <w:bottom w:val="single" w:sz="4" w:color="BDC3C7"/>
              <w:left w:val="single" w:sz="4" w:color="BDC3C7"/>
              <w:right w:val="single" w:sz="4" w:color="BDC3C7"/>
            </w:tcBorders>
          </w:tcPr>
          <w:p>
            <w:r>
              <w:t>↓ -0.190</w:t>
            </w:r>
          </w:p>
        </w:tc>
        <w:tc>
          <w:tcPr>
            <w:tcW w:type="dxa" w:w="1399"/>
            <w:tcBorders>
              <w:top w:val="single" w:sz="4" w:color="BDC3C7"/>
              <w:bottom w:val="single" w:sz="4" w:color="BDC3C7"/>
              <w:left w:val="single" w:sz="4" w:color="BDC3C7"/>
              <w:right w:val="single" w:sz="4" w:color="BDC3C7"/>
            </w:tcBorders>
          </w:tcPr>
          <w:p>
            <w:r>
              <w:t>↑0 / ↓22</w:t>
            </w:r>
          </w:p>
        </w:tc>
      </w:tr>
    </w:tbl>
    <w:p>
      <w:r>
        <w:t>Revenue consensus: Q $0.19B (+9.7%)  |  Q+1 $0.20B (+12.4%)  |  FY $0.79B (+14.0%)  |  FY+1 $0.92B (+16.0%)</w:t>
      </w:r>
    </w:p>
    <w:p>
      <w:r>
        <w:t>Price targets: Mean $275.47  |  Median $282.50  |  Range $140.00–$400.00  |  Current $172.97 (+59.3% to mean)</w:t>
      </w:r>
    </w:p>
    <w:p>
      <w:r>
        <w:t>Analyst ratings (n=32): Strong Buy 5 · Buy 22 · Hold 4 · Sell 0 · Strong Sell 1  ·  84% bullish</w:t>
      </w:r>
    </w:p>
    <w:p>
      <w:r>
        <w:t>Next earnings: 2026-04-29 (1d out)  ·  EPS $1.03 ($0.92–$1.14)  ·  Rev $0.19B</w:t>
      </w:r>
    </w:p>
    <w:p>
      <w:pPr>
        <w:pStyle w:val="SectionHeading"/>
      </w:pPr>
      <w:r>
        <w:t>1. Edge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$1.03</w:t>
            </w:r>
          </w:p>
        </w:tc>
        <w:tc>
          <w:tcPr>
            <w:tcW w:type="dxa" w:w="3264"/>
            <w:tcBorders>
              <w:top w:val="single" w:sz="4" w:color="BDC3C7"/>
              <w:bottom w:val="single" w:sz="4" w:color="BDC3C7"/>
              <w:left w:val="single" w:sz="4" w:color="BDC3C7"/>
              <w:right w:val="single" w:sz="4" w:color="BDC3C7"/>
            </w:tcBorders>
          </w:tcPr>
          <w:p>
            <w:r>
              <w:t>$188M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$1.09</w:t>
            </w:r>
          </w:p>
        </w:tc>
        <w:tc>
          <w:tcPr>
            <w:tcW w:type="dxa" w:w="3264"/>
            <w:tcBorders>
              <w:top w:val="single" w:sz="4" w:color="BDC3C7"/>
              <w:bottom w:val="single" w:sz="4" w:color="BDC3C7"/>
              <w:left w:val="single" w:sz="4" w:color="BDC3C7"/>
              <w:right w:val="single" w:sz="4" w:color="BDC3C7"/>
            </w:tcBorders>
          </w:tcPr>
          <w:p>
            <w:r>
              <w:t>$196M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$4.56</w:t>
            </w:r>
          </w:p>
        </w:tc>
        <w:tc>
          <w:tcPr>
            <w:tcW w:type="dxa" w:w="3264"/>
            <w:tcBorders>
              <w:top w:val="single" w:sz="4" w:color="BDC3C7"/>
              <w:bottom w:val="single" w:sz="4" w:color="BDC3C7"/>
              <w:left w:val="single" w:sz="4" w:color="BDC3C7"/>
              <w:right w:val="single" w:sz="4" w:color="BDC3C7"/>
            </w:tcBorders>
          </w:tcPr>
          <w:p>
            <w:r>
              <w:t>$794M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$5.73</w:t>
            </w:r>
          </w:p>
        </w:tc>
        <w:tc>
          <w:tcPr>
            <w:tcW w:type="dxa" w:w="3264"/>
            <w:tcBorders>
              <w:top w:val="single" w:sz="4" w:color="BDC3C7"/>
              <w:bottom w:val="single" w:sz="4" w:color="BDC3C7"/>
              <w:left w:val="single" w:sz="4" w:color="BDC3C7"/>
              <w:right w:val="single" w:sz="4" w:color="BDC3C7"/>
            </w:tcBorders>
          </w:tcPr>
          <w:p>
            <w:r>
              <w:t>$921M</w:t>
            </w:r>
          </w:p>
        </w:tc>
      </w:tr>
    </w:tbl>
    <w:p>
      <w:pPr>
        <w:pStyle w:val="SubHeading"/>
      </w:pPr>
      <w:r>
        <w:t>Management guidance:</w:t>
      </w:r>
    </w:p>
    <w:p>
      <w:pPr>
        <w:pStyle w:val="ListBullet"/>
      </w:pPr>
      <w:r>
        <w:t>Average Unit Volume Auv (target): $3M  — Deck p.6</w:t>
      </w:r>
    </w:p>
    <w:p>
      <w:pPr>
        <w:pStyle w:val="ListBullet"/>
      </w:pPr>
      <w:r>
        <w:t>Global Restaurant Potential (long-term): 10,000+  — Deck p.6</w:t>
      </w:r>
    </w:p>
    <w:p>
      <w:pPr>
        <w:pStyle w:val="ListBullet"/>
      </w:pPr>
      <w:r>
        <w:t>Average Unit Volume Auv (2025): $2.1M  — Deck p.16</w:t>
      </w:r>
    </w:p>
    <w:p>
      <w:pPr>
        <w:pStyle w:val="ListBullet"/>
      </w:pPr>
      <w:r>
        <w:t>Average Unit Volume Auv (future): $3M  — Deck p.16</w:t>
      </w:r>
    </w:p>
    <w:p>
      <w:pPr>
        <w:pStyle w:val="ListBullet"/>
      </w:pPr>
      <w:r>
        <w:t>Revenue (target): 50%  — Deck p.28</w:t>
      </w:r>
    </w:p>
    <w:p>
      <w:pPr>
        <w:pStyle w:val="ListBullet"/>
      </w:pPr>
      <w:r>
        <w:t>Domestic Market Restaurant Potential (long-term): 6,000+  — Deck p.41</w:t>
      </w:r>
    </w:p>
    <w:p>
      <w:pPr>
        <w:pStyle w:val="ListBullet"/>
      </w:pPr>
      <w:r>
        <w:t>International Market Restaurant Potential (long-term): 4,000+  — Deck p.41</w:t>
      </w:r>
    </w:p>
    <w:p>
      <w:pPr>
        <w:pStyle w:val="ListBullet"/>
      </w:pPr>
      <w:r>
        <w:t>Cash On Cash Returns (target): 70%+  — Deck p.53</w:t>
      </w:r>
    </w:p>
    <w:p>
      <w:r>
        <w:t>Consensus FY26 EPS of $5.73 (+25.6% growth) appears too optimistic given management's cautious 'flat to low single-digit' same-store sales guidance and our analysis suggesting unit growth will decelerate from 15-16% guided levels.</w:t>
      </w:r>
    </w:p>
    <w:p>
      <w:r>
        <w:t>Street models appear to assume mid-single digit same-store sales recovery and sustained 15%+ unit growth, but management's language has grown increasingly cautious about consumer environment. The Q4 2025 call showed management hedging on timing of comp recovery, saying they 'expect the consumer environment to remain choppy with continued pressure on our core consumer.'</w:t>
      </w:r>
    </w:p>
    <w:p>
      <w:r>
        <w:t>The debate: Whether Wingstop can return to positive same-store sales growth in 2026 after first decline in 22 years (-3% in 2025), and if 15-16% unit growth guidance is sustainable given macro headwinds.</w:t>
      </w:r>
    </w:p>
    <w:p>
      <w:pPr>
        <w:pStyle w:val="SubHeading"/>
      </w:pPr>
      <w:r>
        <w:t>Edge claims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$5.73</w:t>
            </w:r>
          </w:p>
        </w:tc>
        <w:tc>
          <w:tcPr>
            <w:tcW w:type="dxa" w:w="1632"/>
            <w:tcBorders>
              <w:top w:val="single" w:sz="4" w:color="BDC3C7"/>
              <w:bottom w:val="single" w:sz="4" w:color="BDC3C7"/>
              <w:left w:val="single" w:sz="4" w:color="BDC3C7"/>
              <w:right w:val="single" w:sz="4" w:color="BDC3C7"/>
            </w:tcBorders>
          </w:tcPr>
          <w:p>
            <w:r>
              <w:t>$5.20</w:t>
            </w:r>
          </w:p>
        </w:tc>
        <w:tc>
          <w:tcPr>
            <w:tcW w:type="dxa" w:w="1632"/>
            <w:tcBorders>
              <w:top w:val="single" w:sz="4" w:color="BDC3C7"/>
              <w:bottom w:val="single" w:sz="4" w:color="BDC3C7"/>
              <w:left w:val="single" w:sz="4" w:color="BDC3C7"/>
              <w:right w:val="single" w:sz="4" w:color="BDC3C7"/>
            </w:tcBorders>
          </w:tcPr>
          <w:p>
            <w:r>
              <w:t>-0.53</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consensus_next_fy_eps</w:t>
      </w:r>
    </w:p>
    <w:p>
      <w:r>
        <w:t>Consensus implies ~16% revenue growth requiring both same-store sales recovery and sustained unit growth, but management's cautious guidance and macro headwinds suggest more modest performance</w:t>
      </w:r>
    </w:p>
    <w:p>
      <w:r>
        <w:t>Street anchor: $5.73 (yfinance consensus) → Our view: $5.20</w:t>
      </w:r>
    </w:p>
    <w:p>
      <w:pPr>
        <w:pStyle w:val="PullQuote"/>
      </w:pPr>
      <w:r>
        <w:t>“our 2026 outlook for domestic same-store sales is flat to low single-digit percent growth”  (transcript)</w:t>
      </w:r>
    </w:p>
    <w:p>
      <w:pPr>
        <w:pStyle w:val="PullQuote"/>
      </w:pPr>
      <w:r>
        <w:t>“we expected the consumer environment to remain choppy with continued pressure on our core consumer”  (transcript)</w:t>
      </w:r>
    </w:p>
    <w:p>
      <w:r>
        <w:t>Why not consensus: Single-quarter analysts focus on unit growth momentum without fully weighing management's increasingly cautious language about consumer recovery timing</w:t>
      </w:r>
    </w:p>
    <w:p>
      <w:pPr>
        <w:pStyle w:val="KillCriteria"/>
      </w:pPr>
      <w:r>
        <w:t>Falsifier: If Q1 2026 same-store sales turn positive and management raises full-year guidance</w:t>
      </w:r>
    </w:p>
    <w:p>
      <w:pPr>
        <w:pStyle w:val="PullQuote"/>
      </w:pPr>
      <w:r>
        <w:t>Counter: the analyst claims Consensus FY26 EPS of $5.73 appears too optimistic given management's cautious guidance — but The analyst missed that consensus may already reflect the deceleration - FY2025 guidance was already cautious at 'low-to-mid single digit' SSS growth. The edge may be stale if consensus has already baked in the slowdown the analyst thinks they're identifying first.</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same_store_sales_growth</w:t>
            </w:r>
          </w:p>
        </w:tc>
        <w:tc>
          <w:tcPr>
            <w:tcW w:type="dxa" w:w="1958"/>
            <w:tcBorders>
              <w:top w:val="single" w:sz="4" w:color="BDC3C7"/>
              <w:bottom w:val="single" w:sz="4" w:color="BDC3C7"/>
              <w:left w:val="single" w:sz="4" w:color="BDC3C7"/>
              <w:right w:val="single" w:sz="4" w:color="BDC3C7"/>
            </w:tcBorders>
          </w:tcPr>
          <w:p>
            <w:r>
              <w:rPr>
                <w:b/>
              </w:rPr>
              <w:t>+0.94%</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traffic_growth</w:t>
            </w:r>
          </w:p>
        </w:tc>
        <w:tc>
          <w:tcPr>
            <w:tcW w:type="dxa" w:w="1958"/>
            <w:tcBorders>
              <w:top w:val="single" w:sz="4" w:color="BDC3C7"/>
              <w:bottom w:val="single" w:sz="4" w:color="BDC3C7"/>
              <w:left w:val="single" w:sz="4" w:color="BDC3C7"/>
              <w:right w:val="single" w:sz="4" w:color="BDC3C7"/>
            </w:tcBorders>
          </w:tcPr>
          <w:p>
            <w:r>
              <w:t>+0.34%</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earnings call, management noted they're 'seeing results across a broader set of restaurants operating on the platform and delivering on the 10-minute speed of service' from Smart Kitchen rollout. However,  [auto-downgraded: basis contains numbers not found in corpus: -3%]</w:t>
            </w:r>
          </w:p>
        </w:tc>
      </w:tr>
      <w:tr>
        <w:tc>
          <w:tcPr>
            <w:tcW w:type="dxa" w:w="1958"/>
            <w:tcBorders>
              <w:top w:val="single" w:sz="4" w:color="BDC3C7"/>
              <w:bottom w:val="single" w:sz="4" w:color="BDC3C7"/>
              <w:left w:val="single" w:sz="4" w:color="BDC3C7"/>
              <w:right w:val="single" w:sz="4" w:color="BDC3C7"/>
            </w:tcBorders>
          </w:tcPr>
          <w:p>
            <w:r>
              <w:t xml:space="preserve">    average_ticket_growth</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Food away from home CPI increased 3.8% year-over-year as of March 2026, providing pricing power backdrop. Management has historically taken modest price increases to offset cost inflation. In the Q4 2025 call, they noted</w:t>
            </w:r>
          </w:p>
        </w:tc>
      </w:tr>
      <w:tr>
        <w:tc>
          <w:tcPr>
            <w:tcW w:type="dxa" w:w="1958"/>
            <w:tcBorders>
              <w:top w:val="single" w:sz="4" w:color="BDC3C7"/>
              <w:bottom w:val="single" w:sz="4" w:color="BDC3C7"/>
              <w:left w:val="single" w:sz="4" w:color="BDC3C7"/>
              <w:right w:val="single" w:sz="4" w:color="BDC3C7"/>
            </w:tcBorders>
          </w:tcPr>
          <w:p>
            <w:r>
              <w:rPr>
                <w:b/>
              </w:rPr>
              <w:t>unit_development</w:t>
            </w:r>
          </w:p>
        </w:tc>
        <w:tc>
          <w:tcPr>
            <w:tcW w:type="dxa" w:w="1958"/>
            <w:tcBorders>
              <w:top w:val="single" w:sz="4" w:color="BDC3C7"/>
              <w:bottom w:val="single" w:sz="4" w:color="BDC3C7"/>
              <w:left w:val="single" w:sz="4" w:color="BDC3C7"/>
              <w:right w:val="single" w:sz="4" w:color="BDC3C7"/>
            </w:tcBorders>
          </w:tcPr>
          <w:p>
            <w:r>
              <w:rPr>
                <w:b/>
              </w:rPr>
              <w:t>275</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domestic_openings</w:t>
            </w:r>
          </w:p>
        </w:tc>
        <w:tc>
          <w:tcPr>
            <w:tcW w:type="dxa" w:w="1958"/>
            <w:tcBorders>
              <w:top w:val="single" w:sz="4" w:color="BDC3C7"/>
              <w:bottom w:val="single" w:sz="4" w:color="BDC3C7"/>
              <w:left w:val="single" w:sz="4" w:color="BDC3C7"/>
              <w:right w:val="single" w:sz="4" w:color="BDC3C7"/>
            </w:tcBorders>
          </w:tcPr>
          <w:p>
            <w:r>
              <w:t>220</w:t>
            </w:r>
          </w:p>
        </w:tc>
        <w:tc>
          <w:tcPr>
            <w:tcW w:type="dxa" w:w="1958"/>
            <w:tcBorders>
              <w:top w:val="single" w:sz="4" w:color="BDC3C7"/>
              <w:bottom w:val="single" w:sz="4" w:color="BDC3C7"/>
              <w:left w:val="single" w:sz="4" w:color="BDC3C7"/>
              <w:right w:val="single" w:sz="4" w:color="BDC3C7"/>
            </w:tcBorders>
          </w:tcPr>
          <w:p>
            <w:r>
              <w:t>0.55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guided 15-16% global unit growth for 2026, which implies ~385-410 net new restaurants from the current 2,563 base. In the Q4 2025 call, CFO Alex Kaleida noted 'based on the strength of our committed pipeline a  [auto-downgraded: basis contains numbers not found in corpus: 4.3%]</w:t>
            </w:r>
          </w:p>
        </w:tc>
      </w:tr>
      <w:tr>
        <w:tc>
          <w:tcPr>
            <w:tcW w:type="dxa" w:w="1958"/>
            <w:tcBorders>
              <w:top w:val="single" w:sz="4" w:color="BDC3C7"/>
              <w:bottom w:val="single" w:sz="4" w:color="BDC3C7"/>
              <w:left w:val="single" w:sz="4" w:color="BDC3C7"/>
              <w:right w:val="single" w:sz="4" w:color="BDC3C7"/>
            </w:tcBorders>
          </w:tcPr>
          <w:p>
            <w:r>
              <w:t xml:space="preserve">    international_openings</w:t>
            </w:r>
          </w:p>
        </w:tc>
        <w:tc>
          <w:tcPr>
            <w:tcW w:type="dxa" w:w="1958"/>
            <w:tcBorders>
              <w:top w:val="single" w:sz="4" w:color="BDC3C7"/>
              <w:bottom w:val="single" w:sz="4" w:color="BDC3C7"/>
              <w:left w:val="single" w:sz="4" w:color="BDC3C7"/>
              <w:right w:val="single" w:sz="4" w:color="BDC3C7"/>
            </w:tcBorders>
          </w:tcPr>
          <w:p>
            <w:r>
              <w:t>55</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International expansion accelerated in 2025 with management highlighting 'record demand for new development' and expansion into markets like India and China with 1,000+ restaurant potential each. The Q4 2025 call emphasi  [auto-downgraded: citation text not found in corpus: 'Q4 2025 call: international business 'on pace for a record year' with expansion ...']</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same_store_sales_growth.traffic_growth: 0.57 → -1.0 — If consumer pressure intensifies beyond management's 'choppy' expectation, traffic could remain negative despite Smart Kitchen benefits, similar to broader QSR industry trends</w:t>
      </w:r>
    </w:p>
    <w:p>
      <w:pPr>
        <w:pStyle w:val="ListBullet"/>
      </w:pPr>
      <w:r>
        <w:t>unit_development.domestic_openings: 280 → 220 — Rising unemployment and declining consumer sentiment could pressure franchisee returns and capital availability, leading to development delays despite committed pipeline</w:t>
      </w:r>
    </w:p>
    <w:p>
      <w:pPr>
        <w:pStyle w:val="PullQuote"/>
      </w:pPr>
      <w:r>
        <w:t>Counter: the analyst claims SSS will remain weak based on macro headwinds — but Restaurant franchise economics are actually improving: food-away inflation (+3.8%) exceeds both grocery (+1.9%) and labor costs (+3.3%). The analyst failed the mandatory SSS decomposition audit - they haven't identified whether 2024's +19.9% SSS came from new products, pricing, or traffic, making 2025-26 projections ungrounded.</w:t>
      </w:r>
    </w:p>
    <w:p>
      <w:pPr>
        <w:pStyle w:val="SectionHeading"/>
      </w:pPr>
      <w:r>
        <w:t>3. Consensus Gap &amp; Valuation</w:t>
      </w:r>
    </w:p>
    <w:p>
      <w:r>
        <w:t>Our EPS: $4.56  =  baseline $4.56  +  Σ claim impacts $-0.00 (0.0% below consensus $4.56)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$4.56</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EPS</w:t>
              <w:br/>
              <w:t>$5.73 → $5.20 (Δ -53.0%)</w:t>
            </w:r>
          </w:p>
        </w:tc>
        <w:tc>
          <w:tcPr>
            <w:tcW w:type="dxa" w:w="2448"/>
            <w:tcBorders>
              <w:top w:val="single" w:sz="4" w:color="BDC3C7"/>
              <w:bottom w:val="single" w:sz="4" w:color="BDC3C7"/>
              <w:left w:val="single" w:sz="4" w:color="BDC3C7"/>
              <w:right w:val="single" w:sz="4" w:color="BDC3C7"/>
            </w:tcBorders>
          </w:tcPr>
          <w:p>
            <w:r>
              <w:t>Revenue Δ $-0M × 31% incremental margin × 74% after-tax</w:t>
            </w:r>
          </w:p>
        </w:tc>
        <w:tc>
          <w:tcPr>
            <w:tcW w:type="dxa" w:w="2448"/>
            <w:tcBorders>
              <w:top w:val="single" w:sz="4" w:color="BDC3C7"/>
              <w:bottom w:val="single" w:sz="4" w:color="BDC3C7"/>
              <w:left w:val="single" w:sz="4" w:color="BDC3C7"/>
              <w:right w:val="single" w:sz="4" w:color="BDC3C7"/>
            </w:tcBorders>
          </w:tcPr>
          <w:p>
            <w:r>
              <w:t>-0.00  ⚠ Claude said -0.53</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$4.56</w:t>
            </w:r>
          </w:p>
        </w:tc>
      </w:tr>
    </w:tbl>
    <w:p>
      <w:pPr>
        <w:pStyle w:val="PullQuote"/>
      </w:pPr>
      <w:r>
        <w:t xml:space="preserve">  ⚠ Claim impact mismatch on consensus_next_fy_eps: Claude said $-0.53, flow-through computes $-0.00</w:t>
      </w:r>
    </w:p>
    <w:p>
      <w:r>
        <w:t>Our estimate is $0.00 (0.0%) below consensus $4.56. No single driver within plausible bounds can close the gap to consensus when other drivers are held at our values; the EPS variant is diffuse (top magnitude: same_store_sales_growth.traffic_growth). Variant appears within market noise -- may already be priced in. Next catalyst: Next quarterly earnings report (2026-04-29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same_store_sales_growth.traffic_growth</w:t>
            </w:r>
          </w:p>
        </w:tc>
        <w:tc>
          <w:tcPr>
            <w:tcW w:type="dxa" w:w="1958"/>
            <w:tcBorders>
              <w:top w:val="single" w:sz="4" w:color="BDC3C7"/>
              <w:bottom w:val="single" w:sz="4" w:color="BDC3C7"/>
              <w:left w:val="single" w:sz="4" w:color="BDC3C7"/>
              <w:right w:val="single" w:sz="4" w:color="BDC3C7"/>
            </w:tcBorders>
          </w:tcPr>
          <w:p>
            <w:r>
              <w:t>+0.34</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same_store_sales_growth.average_ticket_growth</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unit_development.domestic_openings</w:t>
            </w:r>
          </w:p>
        </w:tc>
        <w:tc>
          <w:tcPr>
            <w:tcW w:type="dxa" w:w="1958"/>
            <w:tcBorders>
              <w:top w:val="single" w:sz="4" w:color="BDC3C7"/>
              <w:bottom w:val="single" w:sz="4" w:color="BDC3C7"/>
              <w:left w:val="single" w:sz="4" w:color="BDC3C7"/>
              <w:right w:val="single" w:sz="4" w:color="BDC3C7"/>
            </w:tcBorders>
          </w:tcPr>
          <w:p>
            <w:r>
              <w:t>+220.00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unit_development.international_openings</w:t>
            </w:r>
          </w:p>
        </w:tc>
        <w:tc>
          <w:tcPr>
            <w:tcW w:type="dxa" w:w="1958"/>
            <w:tcBorders>
              <w:top w:val="single" w:sz="4" w:color="BDC3C7"/>
              <w:bottom w:val="single" w:sz="4" w:color="BDC3C7"/>
              <w:left w:val="single" w:sz="4" w:color="BDC3C7"/>
              <w:right w:val="single" w:sz="4" w:color="BDC3C7"/>
            </w:tcBorders>
          </w:tcPr>
          <w:p>
            <w:r>
              <w:t>+55.00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(6.6%). Short interest 13.6% neutral</w:t>
      </w:r>
    </w:p>
    <w:p>
      <w:r>
        <w:t>Edge verdict: NO_CLEAR_EDGE (score 0.000).</w:t>
      </w:r>
    </w:p>
    <w:p>
      <w:pPr>
        <w:pStyle w:val="PullQuote"/>
      </w:pPr>
      <w:r>
        <w:t>Counter: the analyst claims 15-16% unit growth guidance is unsustainable — but Deck shows 10,000+ global restaurant potential vs current 2,563 locations - that's 4x runway. With AUV target of $3M vs current $2.1M, the unit economics support continued expansion. International (359 locations) provides growth optionality the analyst ignored.</w:t>
      </w:r>
    </w:p>
    <w:p>
      <w:pPr>
        <w:pStyle w:val="SectionHeading"/>
      </w:pPr>
      <w:r>
        <w:t>4. Catalysts</w:t>
      </w:r>
    </w:p>
    <w:p>
      <w:pPr>
        <w:pStyle w:val="ListBullet"/>
      </w:pPr>
      <w:r>
        <w:t>Next quarterly earnings report (2026-04-29 (1 days)) — resolves revenue + margins + guidance; confirms or challenges</w:t>
      </w:r>
    </w:p>
    <w:p>
      <w:pPr>
        <w:pStyle w:val="ListBullet"/>
      </w:pPr>
      <w:r>
        <w:t>Resolution: Smart Kitchen technology will drive meaningful same-store sales acceleration (Resolves over 2-4 quarters) — resolves same_store_sales_growth; confirms or challenges</w:t>
      </w:r>
    </w:p>
    <w:p>
      <w:pPr>
        <w:pStyle w:val="ListBullet"/>
      </w:pPr>
      <w:r>
        <w:t>Resolution: Unit growth can sustain at 15%+ levels indefinitely (Multi-year thesis -- patience required) — resolves unit_development; confirms or challenges</w:t>
      </w:r>
    </w:p>
    <w:p>
      <w:pPr>
        <w:pStyle w:val="ListBullet"/>
      </w:pPr>
      <w:r>
        <w:t>Resolution: Analyst blind spot (Multi-year thesis -- patience required) — resolves general; confirms or challenges</w:t>
      </w:r>
    </w:p>
    <w:p>
      <w:pPr>
        <w:pStyle w:val="ListBullet"/>
      </w:pPr>
      <w:r>
        <w:t>Specific Smart Kitchen same-store sales impact by tenure (beyond Southwest region commentary) (Unknown timing) — resolves multiple; resolves uncertainty</w:t>
      </w:r>
    </w:p>
    <w:p>
      <w:pPr>
        <w:pStyle w:val="ListBullet"/>
      </w:pPr>
      <w:r>
        <w:t>Franchisee-level return metrics and capital constraints in current macro environment (Unknown timing) — resolves multiple; resolves uncertainty</w:t>
      </w:r>
    </w:p>
    <w:p>
      <w:pPr>
        <w:pStyle w:val="SectionHeading"/>
      </w:pPr>
      <w:r>
        <w:t>5. Risks, Blind Spots &amp; Kill Criteria</w:t>
      </w:r>
    </w:p>
    <w:p>
      <w:pPr>
        <w:pStyle w:val="SubHeading"/>
      </w:pPr>
      <w:r>
        <w:t>Top risks:</w:t>
      </w:r>
    </w:p>
    <w:p>
      <w:pPr>
        <w:pStyle w:val="ListBullet"/>
      </w:pPr>
      <w:r>
        <w:t>Unit growth can sustain at 15%+ levels indefinitely — counter: While management guides 15-16% for 2026, macro indicators show stress: unemployment up 2.4% YoY to 4.3%, consumer sentiment down 6.5% YoY to 53.3, and personal saving rate down 23.1% YoY. Franchisee capital deployment typically correlates with these macro conditions. [serious]</w:t>
      </w:r>
    </w:p>
    <w:p>
      <w:pPr>
        <w:pStyle w:val="ListBullet"/>
      </w:pPr>
      <w:r>
        <w:t>Analyst projects 'flat to low single-digit' same-store sales for FY26 — counter: Filing shows FY2025 guidance was already 'low-to-mid single digit domestic same-store sales growth' - analyst may be extrapolating one more step down without identifying the specific driver for further deterioration (source: filing) [serious]</w:t>
      </w:r>
    </w:p>
    <w:p>
      <w:pPr>
        <w:pStyle w:val="ListBullet"/>
      </w:pPr>
      <w:r>
        <w:t>Analyst focuses on macro headwinds as key risk — counter: BLS data shows food away from home CPI at +3.8% YoY vs food at home at +1.9% YoY - this 190bps gap favors restaurants over grocery, contradicting macro headwind thesis. Additionally, leisure &amp; hospitality wages at +3.3% vs food away CPI at +3.8% suggests positive unit economics environment (source: BLS context) [serious]</w:t>
      </w:r>
    </w:p>
    <w:p>
      <w:pPr>
        <w:pStyle w:val="SubHeading"/>
      </w:pPr>
      <w:r>
        <w:t>Blind spots (auditor-independent):</w:t>
      </w:r>
    </w:p>
    <w:p>
      <w:pPr>
        <w:pStyle w:val="ListBullet"/>
      </w:pPr>
      <w:r>
        <w:t>Delivery mix progression toward 50% target (deck shows 31% in 2024 vs 50% benchmark) - this structural shift could drive AUV growth independent of traffic</w:t>
      </w:r>
    </w:p>
    <w:p>
      <w:pPr>
        <w:pStyle w:val="ListBullet"/>
      </w:pPr>
      <w:r>
        <w:t>AUV pathway from $2.1M (2025) to $3M target represents 43% upside that could offset SSS weakness through higher royalty rates</w:t>
      </w:r>
    </w:p>
    <w:p>
      <w:pPr>
        <w:pStyle w:val="ListBullet"/>
      </w:pPr>
      <w:r>
        <w:t>International expansion (359 restaurants, growing) provides unit growth buffer if domestic slows</w:t>
      </w:r>
    </w:p>
    <w:p>
      <w:pPr>
        <w:pStyle w:val="KillCriteria"/>
      </w:pPr>
      <w:r>
        <w:t>What would change our mind: Unable to close gap: Specific Smart Kitchen same-store sales impact by tenure (beyond Southwest region commentary)</w:t>
      </w:r>
    </w:p>
    <w:p>
      <w:pPr>
        <w:pStyle w:val="SectionHeading"/>
      </w:pPr>
      <w:r>
        <w:t>Appendix</w:t>
      </w:r>
    </w:p>
    <w:p>
      <w:pPr>
        <w:pStyle w:val="SubHeading"/>
      </w:pPr>
      <w:r>
        <w:t>Evidence gaps (research TODO):</w:t>
      </w:r>
    </w:p>
    <w:p>
      <w:pPr>
        <w:pStyle w:val="ListBullet"/>
      </w:pPr>
      <w:r>
        <w:t>Specific Smart Kitchen same-store sales impact by tenure (beyond Southwest region commentary)</w:t>
      </w:r>
    </w:p>
    <w:p>
      <w:pPr>
        <w:pStyle w:val="ListBullet"/>
      </w:pPr>
      <w:r>
        <w:t>Franchisee-level return metrics and capital constraints in current macro environment</w:t>
      </w:r>
    </w:p>
    <w:p>
      <w:pPr>
        <w:pStyle w:val="ListBullet"/>
      </w:pPr>
      <w:r>
        <w:t>Quantified impact of loyalty program launch on frequency and ticket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