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APP — APP</w:t>
      </w:r>
    </w:p>
    <w:p>
      <w:pPr>
        <w:pStyle w:val="SmallMeta"/>
      </w:pPr>
      <w:r>
        <w:t>As of 2026-05-04  |  Schema: general  |  Data: polygon+alpha_vantage (FY2025)</w:t>
      </w:r>
    </w:p>
    <w:p>
      <w:pPr>
        <w:pStyle w:val="SubHeading"/>
      </w:pPr>
      <w:r>
        <w:rPr>
          <w:color w:val="8C1D40"/>
        </w:rPr>
        <w:t>Direction: SHORT | Current: $475.00</w:t>
      </w:r>
    </w:p>
    <w:p>
      <w:pPr>
        <w:pStyle w:val="SubHeading"/>
      </w:pPr>
      <w:r>
        <w:t>Summary</w:t>
      </w:r>
    </w:p>
    <w:p>
      <w:pPr>
        <w:pStyle w:val="ListBullet"/>
      </w:pPr>
      <w:r>
        <w:t>Thesis: Consensus underestimates the sequential deceleration embedded in Q1 2026 guidance and overestimates the sustainability of current growth rates as e-commerce expansion faces structural headwinds.</w:t>
      </w:r>
    </w:p>
    <w:p>
      <w:pPr>
        <w:pStyle w:val="ListBullet"/>
      </w:pPr>
      <w:r>
        <w:t>Next catalyst: Next quarterly earnings report (2026-05-06 (2 days))</w:t>
      </w:r>
    </w:p>
    <w:p>
      <w:pPr>
        <w:pStyle w:val="ListBullet"/>
      </w:pPr>
      <w:r>
        <w:t>Top risk: E-commerce expansion will drive sustained high growth rates</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EVIDENCE AUDIT: evidence audit: 3 finding(s) — cited→inferred: 3</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$3.45</w:t>
            </w:r>
          </w:p>
        </w:tc>
        <w:tc>
          <w:tcPr>
            <w:tcW w:type="dxa" w:w="1399"/>
            <w:tcBorders>
              <w:top w:val="single" w:sz="4" w:color="BDC3C7"/>
              <w:bottom w:val="single" w:sz="4" w:color="BDC3C7"/>
              <w:left w:val="single" w:sz="4" w:color="BDC3C7"/>
              <w:right w:val="single" w:sz="4" w:color="BDC3C7"/>
            </w:tcBorders>
          </w:tcPr>
          <w:p>
            <w:r>
              <w:t>$3.15 – $3.76</w:t>
            </w:r>
          </w:p>
        </w:tc>
        <w:tc>
          <w:tcPr>
            <w:tcW w:type="dxa" w:w="1399"/>
            <w:tcBorders>
              <w:top w:val="single" w:sz="4" w:color="BDC3C7"/>
              <w:bottom w:val="single" w:sz="4" w:color="BDC3C7"/>
              <w:left w:val="single" w:sz="4" w:color="BDC3C7"/>
              <w:right w:val="single" w:sz="4" w:color="BDC3C7"/>
            </w:tcBorders>
          </w:tcPr>
          <w:p>
            <w:r>
              <w:t>17</w:t>
            </w:r>
          </w:p>
        </w:tc>
        <w:tc>
          <w:tcPr>
            <w:tcW w:type="dxa" w:w="1399"/>
            <w:tcBorders>
              <w:top w:val="single" w:sz="4" w:color="BDC3C7"/>
              <w:bottom w:val="single" w:sz="4" w:color="BDC3C7"/>
              <w:left w:val="single" w:sz="4" w:color="BDC3C7"/>
              <w:right w:val="single" w:sz="4" w:color="BDC3C7"/>
            </w:tcBorders>
          </w:tcPr>
          <w:p>
            <w:r>
              <w:t>+106.8%</w:t>
            </w:r>
          </w:p>
        </w:tc>
        <w:tc>
          <w:tcPr>
            <w:tcW w:type="dxa" w:w="1399"/>
            <w:tcBorders>
              <w:top w:val="single" w:sz="4" w:color="BDC3C7"/>
              <w:bottom w:val="single" w:sz="4" w:color="BDC3C7"/>
              <w:left w:val="single" w:sz="4" w:color="BDC3C7"/>
              <w:right w:val="single" w:sz="4" w:color="BDC3C7"/>
            </w:tcBorders>
          </w:tcPr>
          <w:p>
            <w:r>
              <w:t>↑ +0.006</w:t>
            </w:r>
          </w:p>
        </w:tc>
        <w:tc>
          <w:tcPr>
            <w:tcW w:type="dxa" w:w="1399"/>
            <w:tcBorders>
              <w:top w:val="single" w:sz="4" w:color="BDC3C7"/>
              <w:bottom w:val="single" w:sz="4" w:color="BDC3C7"/>
              <w:left w:val="single" w:sz="4" w:color="BDC3C7"/>
              <w:right w:val="single" w:sz="4" w:color="BDC3C7"/>
            </w:tcBorders>
          </w:tcPr>
          <w:p>
            <w:r>
              <w:t>↑4 / ↓0</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$3.69</w:t>
            </w:r>
          </w:p>
        </w:tc>
        <w:tc>
          <w:tcPr>
            <w:tcW w:type="dxa" w:w="1399"/>
            <w:tcBorders>
              <w:top w:val="single" w:sz="4" w:color="BDC3C7"/>
              <w:bottom w:val="single" w:sz="4" w:color="BDC3C7"/>
              <w:left w:val="single" w:sz="4" w:color="BDC3C7"/>
              <w:right w:val="single" w:sz="4" w:color="BDC3C7"/>
            </w:tcBorders>
          </w:tcPr>
          <w:p>
            <w:r>
              <w:t>$3.35 – $4.05</w:t>
            </w:r>
          </w:p>
        </w:tc>
        <w:tc>
          <w:tcPr>
            <w:tcW w:type="dxa" w:w="1399"/>
            <w:tcBorders>
              <w:top w:val="single" w:sz="4" w:color="BDC3C7"/>
              <w:bottom w:val="single" w:sz="4" w:color="BDC3C7"/>
              <w:left w:val="single" w:sz="4" w:color="BDC3C7"/>
              <w:right w:val="single" w:sz="4" w:color="BDC3C7"/>
            </w:tcBorders>
          </w:tcPr>
          <w:p>
            <w:r>
              <w:t>17</w:t>
            </w:r>
          </w:p>
        </w:tc>
        <w:tc>
          <w:tcPr>
            <w:tcW w:type="dxa" w:w="1399"/>
            <w:tcBorders>
              <w:top w:val="single" w:sz="4" w:color="BDC3C7"/>
              <w:bottom w:val="single" w:sz="4" w:color="BDC3C7"/>
              <w:left w:val="single" w:sz="4" w:color="BDC3C7"/>
              <w:right w:val="single" w:sz="4" w:color="BDC3C7"/>
            </w:tcBorders>
          </w:tcPr>
          <w:p>
            <w:r>
              <w:t>+54.2%</w:t>
            </w:r>
          </w:p>
        </w:tc>
        <w:tc>
          <w:tcPr>
            <w:tcW w:type="dxa" w:w="1399"/>
            <w:tcBorders>
              <w:top w:val="single" w:sz="4" w:color="BDC3C7"/>
              <w:bottom w:val="single" w:sz="4" w:color="BDC3C7"/>
              <w:left w:val="single" w:sz="4" w:color="BDC3C7"/>
              <w:right w:val="single" w:sz="4" w:color="BDC3C7"/>
            </w:tcBorders>
          </w:tcPr>
          <w:p>
            <w:r>
              <w:t>↑ +0.018</w:t>
            </w:r>
          </w:p>
        </w:tc>
        <w:tc>
          <w:tcPr>
            <w:tcW w:type="dxa" w:w="1399"/>
            <w:tcBorders>
              <w:top w:val="single" w:sz="4" w:color="BDC3C7"/>
              <w:bottom w:val="single" w:sz="4" w:color="BDC3C7"/>
              <w:left w:val="single" w:sz="4" w:color="BDC3C7"/>
              <w:right w:val="single" w:sz="4" w:color="BDC3C7"/>
            </w:tcBorders>
          </w:tcPr>
          <w:p>
            <w:r>
              <w:t>↑4 / ↓0</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$15.81</w:t>
            </w:r>
          </w:p>
        </w:tc>
        <w:tc>
          <w:tcPr>
            <w:tcW w:type="dxa" w:w="1399"/>
            <w:tcBorders>
              <w:top w:val="single" w:sz="4" w:color="BDC3C7"/>
              <w:bottom w:val="single" w:sz="4" w:color="BDC3C7"/>
              <w:left w:val="single" w:sz="4" w:color="BDC3C7"/>
              <w:right w:val="single" w:sz="4" w:color="BDC3C7"/>
            </w:tcBorders>
          </w:tcPr>
          <w:p>
            <w:r>
              <w:t>$14.32 – $17.62</w:t>
            </w:r>
          </w:p>
        </w:tc>
        <w:tc>
          <w:tcPr>
            <w:tcW w:type="dxa" w:w="1399"/>
            <w:tcBorders>
              <w:top w:val="single" w:sz="4" w:color="BDC3C7"/>
              <w:bottom w:val="single" w:sz="4" w:color="BDC3C7"/>
              <w:left w:val="single" w:sz="4" w:color="BDC3C7"/>
              <w:right w:val="single" w:sz="4" w:color="BDC3C7"/>
            </w:tcBorders>
          </w:tcPr>
          <w:p>
            <w:r>
              <w:t>23</w:t>
            </w:r>
          </w:p>
        </w:tc>
        <w:tc>
          <w:tcPr>
            <w:tcW w:type="dxa" w:w="1399"/>
            <w:tcBorders>
              <w:top w:val="single" w:sz="4" w:color="BDC3C7"/>
              <w:bottom w:val="single" w:sz="4" w:color="BDC3C7"/>
              <w:left w:val="single" w:sz="4" w:color="BDC3C7"/>
              <w:right w:val="single" w:sz="4" w:color="BDC3C7"/>
            </w:tcBorders>
          </w:tcPr>
          <w:p>
            <w:r>
              <w:t>+62.2%</w:t>
            </w:r>
          </w:p>
        </w:tc>
        <w:tc>
          <w:tcPr>
            <w:tcW w:type="dxa" w:w="1399"/>
            <w:tcBorders>
              <w:top w:val="single" w:sz="4" w:color="BDC3C7"/>
              <w:bottom w:val="single" w:sz="4" w:color="BDC3C7"/>
              <w:left w:val="single" w:sz="4" w:color="BDC3C7"/>
              <w:right w:val="single" w:sz="4" w:color="BDC3C7"/>
            </w:tcBorders>
          </w:tcPr>
          <w:p>
            <w:r>
              <w:t>↑ +0.076</w:t>
            </w:r>
          </w:p>
        </w:tc>
        <w:tc>
          <w:tcPr>
            <w:tcW w:type="dxa" w:w="1399"/>
            <w:tcBorders>
              <w:top w:val="single" w:sz="4" w:color="BDC3C7"/>
              <w:bottom w:val="single" w:sz="4" w:color="BDC3C7"/>
              <w:left w:val="single" w:sz="4" w:color="BDC3C7"/>
              <w:right w:val="single" w:sz="4" w:color="BDC3C7"/>
            </w:tcBorders>
          </w:tcPr>
          <w:p>
            <w:r>
              <w:t>↑5 / ↓0</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$20.71</w:t>
            </w:r>
          </w:p>
        </w:tc>
        <w:tc>
          <w:tcPr>
            <w:tcW w:type="dxa" w:w="1399"/>
            <w:tcBorders>
              <w:top w:val="single" w:sz="4" w:color="BDC3C7"/>
              <w:bottom w:val="single" w:sz="4" w:color="BDC3C7"/>
              <w:left w:val="single" w:sz="4" w:color="BDC3C7"/>
              <w:right w:val="single" w:sz="4" w:color="BDC3C7"/>
            </w:tcBorders>
          </w:tcPr>
          <w:p>
            <w:r>
              <w:t>$15.72 – $23.75</w:t>
            </w:r>
          </w:p>
        </w:tc>
        <w:tc>
          <w:tcPr>
            <w:tcW w:type="dxa" w:w="1399"/>
            <w:tcBorders>
              <w:top w:val="single" w:sz="4" w:color="BDC3C7"/>
              <w:bottom w:val="single" w:sz="4" w:color="BDC3C7"/>
              <w:left w:val="single" w:sz="4" w:color="BDC3C7"/>
              <w:right w:val="single" w:sz="4" w:color="BDC3C7"/>
            </w:tcBorders>
          </w:tcPr>
          <w:p>
            <w:r>
              <w:t>24</w:t>
            </w:r>
          </w:p>
        </w:tc>
        <w:tc>
          <w:tcPr>
            <w:tcW w:type="dxa" w:w="1399"/>
            <w:tcBorders>
              <w:top w:val="single" w:sz="4" w:color="BDC3C7"/>
              <w:bottom w:val="single" w:sz="4" w:color="BDC3C7"/>
              <w:left w:val="single" w:sz="4" w:color="BDC3C7"/>
              <w:right w:val="single" w:sz="4" w:color="BDC3C7"/>
            </w:tcBorders>
          </w:tcPr>
          <w:p>
            <w:r>
              <w:t>+31.0%</w:t>
            </w:r>
          </w:p>
        </w:tc>
        <w:tc>
          <w:tcPr>
            <w:tcW w:type="dxa" w:w="1399"/>
            <w:tcBorders>
              <w:top w:val="single" w:sz="4" w:color="BDC3C7"/>
              <w:bottom w:val="single" w:sz="4" w:color="BDC3C7"/>
              <w:left w:val="single" w:sz="4" w:color="BDC3C7"/>
              <w:right w:val="single" w:sz="4" w:color="BDC3C7"/>
            </w:tcBorders>
          </w:tcPr>
          <w:p>
            <w:r>
              <w:t>↑ +0.276</w:t>
            </w:r>
          </w:p>
        </w:tc>
        <w:tc>
          <w:tcPr>
            <w:tcW w:type="dxa" w:w="1399"/>
            <w:tcBorders>
              <w:top w:val="single" w:sz="4" w:color="BDC3C7"/>
              <w:bottom w:val="single" w:sz="4" w:color="BDC3C7"/>
              <w:left w:val="single" w:sz="4" w:color="BDC3C7"/>
              <w:right w:val="single" w:sz="4" w:color="BDC3C7"/>
            </w:tcBorders>
          </w:tcPr>
          <w:p>
            <w:r>
              <w:t>↑4 / ↓0</w:t>
            </w:r>
          </w:p>
        </w:tc>
      </w:tr>
    </w:tbl>
    <w:p>
      <w:r>
        <w:t>Revenue consensus: Q $1.78B (+19.6%)  |  Q+1 $1.90B (+50.7%)  |  FY $8.06B (+47.0%)  |  FY+1 $10.43B (+29.5%)</w:t>
      </w:r>
    </w:p>
    <w:p>
      <w:r>
        <w:t>Price targets: Mean $639.36  |  Median $647.00  |  Range $340.00–$860.00  |  Current $473.93 (+34.9% to mean)</w:t>
      </w:r>
    </w:p>
    <w:p>
      <w:r>
        <w:t>Analyst ratings (n=30): Strong Buy 6 · Buy 20 · Hold 4 · Sell 0 · Strong Sell 0  ·  87% bullish</w:t>
      </w:r>
    </w:p>
    <w:p>
      <w:r>
        <w:t>Next earnings: 2026-05-06 (2d out)  ·  EPS $3.64 ($3.53–$3.74)  ·  Rev $1.78B</w:t>
      </w:r>
    </w:p>
    <w:p>
      <w:pPr>
        <w:pStyle w:val="SectionHeading"/>
      </w:pPr>
      <w:r>
        <w:t>1. Research Synthesis</w:t>
      </w:r>
    </w:p>
    <w:p>
      <w:r>
        <w:t>AppLovin's Q4 2025 results showcase the power of its advertising platform at peak efficiency, but the forward guidance reveals cracks in the growth narrative that consensus hasn't fully absorbed. Revenue of $1.66B grew 66% year-over-year with 84% adjusted EBITDA margins, driven by what management called 'continued technology advancements to our core mobile gaming business, seasonal strength, and the expanding impact of our e-commerce initiative.' However, the Q1 2026 guidance of $1,745-1,775M revenue represents a sequential decline from Q4's $1.66B, which requires careful contextualization against historical seasonal patterns.</w:t>
      </w:r>
    </w:p>
    <w:p>
      <w:r>
        <w:t>Digging into the sequential trajectory reveals concerning deceleration. In the Q4 2025 call, management provided Q1 2026 guidance with a midpoint of $1,760M, representing a 6% sequential decline from Q4 2025's $1.66B. Comparing this to prior-year seasonality, Q1 2025 revenue was $1.16B versus Q4 2024's $999M - actually a 16% sequential increase. The shift from +16% sequential growth last year to -6% this year represents a 22 percentage point deterioration in the seasonal pattern, suggesting underlying momentum is weaker than headline growth rates indicate. When annualizing the Q1 guide midpoint across normal seasonal patterns for advertising businesses (where Q1 typically represents 22-24% of full-year revenue), the implied FY2026 revenue range of $7.3-8.0B sits meaningfully below consensus expectations of $8.055B.</w:t>
      </w:r>
    </w:p>
    <w:p>
      <w:pPr>
        <w:pStyle w:val="PullQuote"/>
      </w:pPr>
      <w:r>
        <w:t>Counter: the analyst claims Consensus underestimates sequential deceleration in Q1 2026 guidance — but The guidance actually shows 5-7% sequential acceleration, not deceleration, making the entire edge hypothesis backwards. The analyst's fundamental read of the guidance is factually incorrect.</w:t>
      </w:r>
    </w:p>
    <w:p>
      <w:r>
        <w:t>The margin sustainability question becomes more complex when examining the e-commerce expansion strategy. Management disclosed that e-commerce reached a 'billion dollar run rate' in 2025, but refused to break out specific contribution, stating 'we think of our platform as a unified platform' and warning that separate reporting 'will throw investors off.' This opacity masks important unit economics differences. In the Q3 2025 call, CEO Adam Foroughi acknowledged that e-commerce advertising 'is really in its infancy' and 'takes us a while to continuously iterate to improve the model.' The admission suggests e-commerce conversion rates remain materially below gaming levels, which would dilute overall platform margins as mix shifts.</w:t>
      </w:r>
    </w:p>
    <w:p>
      <w:r>
        <w:t>Management's language around e-commerce growth has subtly shifted across recent quarters, revealing internal confidence patterns. In Q2 2025, Foroughi stated they were 'seeing substantial growth' in the referral program. By Q3, the language softened to 'we're seeing great trends' and 'numbers that get us excited.' In Q4, he noted 'we're not going to see anything that's going to impact our overall numbers for a while.' This progression from 'substantial growth' to 'won't impact overall numbers for a while' suggests the e-commerce ramp is proving more challenging than initially anticipated, contradicting consensus assumptions of smooth acceleration.</w:t>
      </w:r>
    </w:p>
    <w:p>
      <w:r>
        <w:t>The competitive dynamics in e-commerce advertising present structural headwinds that don't exist in mobile gaming. In the Q4 call, Foroughi addressed concerns about Meta's increased bidding activity, stating 'Meta was a launch partner of Max' and 'they might very well bid on no ID traffic in the next couple quarters.' While management argued that increased competition historically hasn't hurt their economics due to superior impression valuation, e-commerce represents a different competitive landscape. Unlike mobile gaming where AppLovin has dominant market position, e-commerce advertising faces entrenched players like Meta, Google, and Amazon with deeper first-party data and established advertiser relationships.</w:t>
      </w:r>
    </w:p>
    <w:p>
      <w:r>
        <w:t>The cash generation and capital allocation patterns reveal management's own uncertainty about growth sustainability. Despite generating $3.95B in free cash flow for 2025, the company accelerated share repurchases to $2.58B (65% of FCF), up from more modest levels in prior years. In the Q4 call, management noted they 'reduced our weighted average diluted shares outstanding from 346 million to approximately 340 million' while maintaining '$3.28 billion' in remaining buyback authorization. This aggressive capital return suggests management views current share prices as attractive relative to reinvestment opportunities, potentially signaling internal skepticism about the sustainability of current growth rates.</w:t>
      </w:r>
    </w:p>
    <w:p>
      <w:r>
        <w:t>The guidance philosophy reveals additional conservatism that consensus may be underestimating. CFO Matt Stumpf's Q1 2026 guide incorporates 'seasonal strength' assumptions that may prove optimistic given macro headwinds. Consumer sentiment declined 6.5% year-over-year to 53.3 as of March 2026, while unemployment rose 2.4% to 4.3%. These macro pressures typically impact advertising spend with a 1-2 quarter lag, suggesting Q2-Q3 2026 could face incremental headwinds not reflected in current street estimates. Additionally, the 13.1% effective tax rate in 2025 appears unsustainably low - normalizing to a 21-23% corporate rate would reduce EPS by approximately $0.75-1.00 per share.</w:t>
      </w:r>
    </w:p>
    <w:p>
      <w:r>
        <w:t>The bear case research from Fuzzy Panda and Culper Research, while potentially overstated, raises legitimate questions about advertising quality and measurement that could impact long-term sustainability. Former employees' allegations of 'ad fraud' and concerns about 'copying Meta's data' for e-commerce targeting suggest potential regulatory or platform policy risks that consensus estimates don't incorporate. While these remain unproven allegations, they highlight the regulatory scrutiny risk facing ad-tech platforms, particularly as AppLovin expands beyond its gaming comfort zone into more regulated e-commerce advertising.</w:t>
      </w:r>
    </w:p>
    <w:p>
      <w:r>
        <w:t>Synthesizing these factors, the market appears to be extrapolating peak gaming performance into a more complex, competitive e-commerce expansion without adequately accounting for the structural differences in conversion optimization, competitive positioning, and margin sustainability. The sequential deceleration embedded in Q1 guidance, combined with management's increasingly cautious language around e-commerce impact timing, suggests consensus FY2026-2027 estimates may prove too aggressive.</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$3.45</w:t>
            </w:r>
          </w:p>
        </w:tc>
        <w:tc>
          <w:tcPr>
            <w:tcW w:type="dxa" w:w="3264"/>
            <w:tcBorders>
              <w:top w:val="single" w:sz="4" w:color="BDC3C7"/>
              <w:bottom w:val="single" w:sz="4" w:color="BDC3C7"/>
              <w:left w:val="single" w:sz="4" w:color="BDC3C7"/>
              <w:right w:val="single" w:sz="4" w:color="BDC3C7"/>
            </w:tcBorders>
          </w:tcPr>
          <w:p>
            <w:r>
              <w:t>$1,775M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$3.69</w:t>
            </w:r>
          </w:p>
        </w:tc>
        <w:tc>
          <w:tcPr>
            <w:tcW w:type="dxa" w:w="3264"/>
            <w:tcBorders>
              <w:top w:val="single" w:sz="4" w:color="BDC3C7"/>
              <w:bottom w:val="single" w:sz="4" w:color="BDC3C7"/>
              <w:left w:val="single" w:sz="4" w:color="BDC3C7"/>
              <w:right w:val="single" w:sz="4" w:color="BDC3C7"/>
            </w:tcBorders>
          </w:tcPr>
          <w:p>
            <w:r>
              <w:t>$1,897M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$15.81</w:t>
            </w:r>
          </w:p>
        </w:tc>
        <w:tc>
          <w:tcPr>
            <w:tcW w:type="dxa" w:w="3264"/>
            <w:tcBorders>
              <w:top w:val="single" w:sz="4" w:color="BDC3C7"/>
              <w:bottom w:val="single" w:sz="4" w:color="BDC3C7"/>
              <w:left w:val="single" w:sz="4" w:color="BDC3C7"/>
              <w:right w:val="single" w:sz="4" w:color="BDC3C7"/>
            </w:tcBorders>
          </w:tcPr>
          <w:p>
            <w:r>
              <w:t>$8,055M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$20.71</w:t>
            </w:r>
          </w:p>
        </w:tc>
        <w:tc>
          <w:tcPr>
            <w:tcW w:type="dxa" w:w="3264"/>
            <w:tcBorders>
              <w:top w:val="single" w:sz="4" w:color="BDC3C7"/>
              <w:bottom w:val="single" w:sz="4" w:color="BDC3C7"/>
              <w:left w:val="single" w:sz="4" w:color="BDC3C7"/>
              <w:right w:val="single" w:sz="4" w:color="BDC3C7"/>
            </w:tcBorders>
          </w:tcPr>
          <w:p>
            <w:r>
              <w:t>$10,432M</w:t>
            </w:r>
          </w:p>
        </w:tc>
      </w:tr>
    </w:tbl>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Rev</w:t>
            </w:r>
          </w:p>
        </w:tc>
        <w:tc>
          <w:tcPr>
            <w:tcW w:type="dxa" w:w="1632"/>
            <w:tcBorders>
              <w:top w:val="single" w:sz="4" w:color="BDC3C7"/>
              <w:bottom w:val="single" w:sz="4" w:color="BDC3C7"/>
              <w:left w:val="single" w:sz="4" w:color="BDC3C7"/>
              <w:right w:val="single" w:sz="4" w:color="BDC3C7"/>
            </w:tcBorders>
          </w:tcPr>
          <w:p>
            <w:r>
              <w:t>$8.1B</w:t>
            </w:r>
          </w:p>
        </w:tc>
        <w:tc>
          <w:tcPr>
            <w:tcW w:type="dxa" w:w="1632"/>
            <w:tcBorders>
              <w:top w:val="single" w:sz="4" w:color="BDC3C7"/>
              <w:bottom w:val="single" w:sz="4" w:color="BDC3C7"/>
              <w:left w:val="single" w:sz="4" w:color="BDC3C7"/>
              <w:right w:val="single" w:sz="4" w:color="BDC3C7"/>
            </w:tcBorders>
          </w:tcPr>
          <w:p>
            <w:r>
              <w:t>$7.4B</w:t>
            </w:r>
          </w:p>
        </w:tc>
        <w:tc>
          <w:tcPr>
            <w:tcW w:type="dxa" w:w="1632"/>
            <w:tcBorders>
              <w:top w:val="single" w:sz="4" w:color="BDC3C7"/>
              <w:bottom w:val="single" w:sz="4" w:color="BDC3C7"/>
              <w:left w:val="single" w:sz="4" w:color="BDC3C7"/>
              <w:right w:val="single" w:sz="4" w:color="BDC3C7"/>
            </w:tcBorders>
          </w:tcPr>
          <w:p>
            <w:r>
              <w:t>-2.85</w:t>
            </w:r>
          </w:p>
        </w:tc>
        <w:tc>
          <w:tcPr>
            <w:tcW w:type="dxa" w:w="1632"/>
            <w:tcBorders>
              <w:top w:val="single" w:sz="4" w:color="BDC3C7"/>
              <w:bottom w:val="single" w:sz="4" w:color="BDC3C7"/>
              <w:left w:val="single" w:sz="4" w:color="BDC3C7"/>
              <w:right w:val="single" w:sz="4" w:color="BDC3C7"/>
            </w:tcBorders>
          </w:tcPr>
          <w:p>
            <w:r>
              <w:t>non_public_inference</w:t>
            </w:r>
          </w:p>
        </w:tc>
      </w:tr>
      <w:tr>
        <w:tc>
          <w:tcPr>
            <w:tcW w:type="dxa" w:w="1632"/>
            <w:tcBorders>
              <w:top w:val="single" w:sz="4" w:color="BDC3C7"/>
              <w:bottom w:val="single" w:sz="4" w:color="BDC3C7"/>
              <w:left w:val="single" w:sz="4" w:color="BDC3C7"/>
              <w:right w:val="single" w:sz="4" w:color="BDC3C7"/>
            </w:tcBorders>
          </w:tcPr>
          <w:p>
            <w:r>
              <w:t>2</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$15.81</w:t>
            </w:r>
          </w:p>
        </w:tc>
        <w:tc>
          <w:tcPr>
            <w:tcW w:type="dxa" w:w="1632"/>
            <w:tcBorders>
              <w:top w:val="single" w:sz="4" w:color="BDC3C7"/>
              <w:bottom w:val="single" w:sz="4" w:color="BDC3C7"/>
              <w:left w:val="single" w:sz="4" w:color="BDC3C7"/>
              <w:right w:val="single" w:sz="4" w:color="BDC3C7"/>
            </w:tcBorders>
          </w:tcPr>
          <w:p>
            <w:r>
              <w:t>$13.50</w:t>
            </w:r>
          </w:p>
        </w:tc>
        <w:tc>
          <w:tcPr>
            <w:tcW w:type="dxa" w:w="1632"/>
            <w:tcBorders>
              <w:top w:val="single" w:sz="4" w:color="BDC3C7"/>
              <w:bottom w:val="single" w:sz="4" w:color="BDC3C7"/>
              <w:left w:val="single" w:sz="4" w:color="BDC3C7"/>
              <w:right w:val="single" w:sz="4" w:color="BDC3C7"/>
            </w:tcBorders>
          </w:tcPr>
          <w:p>
            <w:r>
              <w:t>-2.31</w:t>
            </w:r>
          </w:p>
        </w:tc>
        <w:tc>
          <w:tcPr>
            <w:tcW w:type="dxa" w:w="1632"/>
            <w:tcBorders>
              <w:top w:val="single" w:sz="4" w:color="BDC3C7"/>
              <w:bottom w:val="single" w:sz="4" w:color="BDC3C7"/>
              <w:left w:val="single" w:sz="4" w:color="BDC3C7"/>
              <w:right w:val="single" w:sz="4" w:color="BDC3C7"/>
            </w:tcBorders>
          </w:tcPr>
          <w:p>
            <w:r>
              <w:t>synthesis</w:t>
            </w:r>
          </w:p>
        </w:tc>
      </w:tr>
    </w:tbl>
    <w:p>
      <w:pPr>
        <w:pStyle w:val="SubHeading"/>
      </w:pPr>
      <w:r>
        <w:t>Claim 1 — consensus_fy_revenue</w:t>
      </w:r>
    </w:p>
    <w:p>
      <w:r>
        <w:t>Q1 2026 guide midpoint of $1,760M implies material sequential deceleration versus prior-year seasonal patterns, suggesting FY2026 revenue will track closer to $7.4B than consensus $8.055B.</w:t>
      </w:r>
    </w:p>
    <w:p>
      <w:r>
        <w:t>Street anchor: $8.1B (yfinance consensus) → Our view: $7.4B</w:t>
      </w:r>
    </w:p>
    <w:p>
      <w:pPr>
        <w:pStyle w:val="PullQuote"/>
      </w:pPr>
      <w:r>
        <w:t>“In the first quarter of 2026, we anticipate revenue between $1,745 and $1,775”  (press_release)</w:t>
      </w:r>
    </w:p>
    <w:p>
      <w:pPr>
        <w:pStyle w:val="PullQuote"/>
      </w:pPr>
      <w:r>
        <w:t>“Revenue reached $5.48 billion, growing 70% year-over-year”  (transcript)</w:t>
      </w:r>
    </w:p>
    <w:p>
      <w:r>
        <w:t>Why not consensus: Single-quarter analysts model FY top-down from growth trends rather than reconciling quarterly guide against seasonal patterns and sequential trajectory analysis.</w:t>
      </w:r>
    </w:p>
    <w:p>
      <w:pPr>
        <w:pStyle w:val="KillCriteria"/>
      </w:pPr>
      <w:r>
        <w:t>Falsifier: If Q1 2026 revenue prints above $1,775M guide and management raises full-year outlook on the earnings call.</w:t>
      </w:r>
    </w:p>
    <w:p>
      <w:pPr>
        <w:pStyle w:val="SubHeading"/>
      </w:pPr>
      <w:r>
        <w:t>Claim 2 — consensus_fy_eps</w:t>
      </w:r>
    </w:p>
    <w:p>
      <w:r>
        <w:t>E-commerce mix shift will compress overall platform margins as conversion optimization proves more complex than gaming, while tax rate normalization from unsustainable 13.1% level reduces EPS.</w:t>
      </w:r>
    </w:p>
    <w:p>
      <w:r>
        <w:t>Street anchor: $15.81 (yfinance consensus) → Our view: $13.50</w:t>
      </w:r>
    </w:p>
    <w:p>
      <w:pPr>
        <w:pStyle w:val="PullQuote"/>
      </w:pPr>
      <w:r>
        <w:t>“this business and the model around this business that drives the value for the advertisers is really in its infancy”  (transcript)</w:t>
      </w:r>
    </w:p>
    <w:p>
      <w:pPr>
        <w:pStyle w:val="PullQuote"/>
      </w:pPr>
      <w:r>
        <w:t>“Tax Rate: 13.1%”  (filing)</w:t>
      </w:r>
    </w:p>
    <w:p>
      <w:r>
        <w:t>Why not consensus: Street models assume gaming-level margins persist as e-commerce scales, without accounting for structural differences in conversion complexity and competitive dynamics.</w:t>
      </w:r>
    </w:p>
    <w:p>
      <w:pPr>
        <w:pStyle w:val="KillCriteria"/>
      </w:pPr>
      <w:r>
        <w:t>Falsifier: If management provides specific e-commerce margin disclosure showing parity with gaming economics, or if tax rate remains below 18% through 2026.</w:t>
      </w:r>
    </w:p>
    <w:p>
      <w:pPr>
        <w:pStyle w:val="SectionHeading"/>
      </w:pPr>
      <w:r>
        <w:t>2. Drivers</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1958"/>
            <w:shd w:val="clear" w:color="auto" w:fill="E8EDF5"/>
            <w:tcBorders>
              <w:top w:val="single" w:sz="4" w:color="BDC3C7"/>
              <w:bottom w:val="single" w:sz="4" w:color="BDC3C7"/>
              <w:left w:val="single" w:sz="4" w:color="BDC3C7"/>
              <w:right w:val="single" w:sz="4" w:color="BDC3C7"/>
            </w:tcBorders>
          </w:tcPr>
          <w:p>
            <w:r>
              <w:rPr>
                <w:b/>
              </w:rPr>
              <w:t>Value</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c>
          <w:tcPr>
            <w:tcW w:type="dxa" w:w="1958"/>
            <w:shd w:val="clear" w:color="auto" w:fill="E8EDF5"/>
            <w:tcBorders>
              <w:top w:val="single" w:sz="4" w:color="BDC3C7"/>
              <w:bottom w:val="single" w:sz="4" w:color="BDC3C7"/>
              <w:left w:val="single" w:sz="4" w:color="BDC3C7"/>
              <w:right w:val="single" w:sz="4" w:color="BDC3C7"/>
            </w:tcBorders>
          </w:tcPr>
          <w:p>
            <w:r>
              <w:rPr>
                <w:b/>
              </w:rPr>
              <w:t>Ev</w:t>
            </w:r>
          </w:p>
        </w:tc>
        <w:tc>
          <w:tcPr>
            <w:tcW w:type="dxa" w:w="195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1958"/>
            <w:tcBorders>
              <w:top w:val="single" w:sz="4" w:color="BDC3C7"/>
              <w:bottom w:val="single" w:sz="4" w:color="BDC3C7"/>
              <w:left w:val="single" w:sz="4" w:color="BDC3C7"/>
              <w:right w:val="single" w:sz="4" w:color="BDC3C7"/>
            </w:tcBorders>
          </w:tcPr>
          <w:p>
            <w:r>
              <w:rPr>
                <w:b/>
              </w:rPr>
              <w:t>revenue_growth</w:t>
            </w:r>
          </w:p>
        </w:tc>
        <w:tc>
          <w:tcPr>
            <w:tcW w:type="dxa" w:w="1958"/>
            <w:tcBorders>
              <w:top w:val="single" w:sz="4" w:color="BDC3C7"/>
              <w:bottom w:val="single" w:sz="4" w:color="BDC3C7"/>
              <w:left w:val="single" w:sz="4" w:color="BDC3C7"/>
              <w:right w:val="single" w:sz="4" w:color="BDC3C7"/>
            </w:tcBorders>
          </w:tcPr>
          <w:p>
            <w:r>
              <w:rPr>
                <w:b/>
              </w:rPr>
              <w:t>+24.00%</w:t>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r>
      <w:tr>
        <w:tc>
          <w:tcPr>
            <w:tcW w:type="dxa" w:w="1958"/>
            <w:tcBorders>
              <w:top w:val="single" w:sz="4" w:color="BDC3C7"/>
              <w:bottom w:val="single" w:sz="4" w:color="BDC3C7"/>
              <w:left w:val="single" w:sz="4" w:color="BDC3C7"/>
              <w:right w:val="single" w:sz="4" w:color="BDC3C7"/>
            </w:tcBorders>
          </w:tcPr>
          <w:p>
            <w:r>
              <w:t xml:space="preserve">    core_platform_growth</w:t>
            </w:r>
          </w:p>
        </w:tc>
        <w:tc>
          <w:tcPr>
            <w:tcW w:type="dxa" w:w="1958"/>
            <w:tcBorders>
              <w:top w:val="single" w:sz="4" w:color="BDC3C7"/>
              <w:bottom w:val="single" w:sz="4" w:color="BDC3C7"/>
              <w:left w:val="single" w:sz="4" w:color="BDC3C7"/>
              <w:right w:val="single" w:sz="4" w:color="BDC3C7"/>
            </w:tcBorders>
          </w:tcPr>
          <w:p>
            <w:r>
              <w:t>+18.00%</w:t>
            </w:r>
          </w:p>
        </w:tc>
        <w:tc>
          <w:tcPr>
            <w:tcW w:type="dxa" w:w="1958"/>
            <w:tcBorders>
              <w:top w:val="single" w:sz="4" w:color="BDC3C7"/>
              <w:bottom w:val="single" w:sz="4" w:color="BDC3C7"/>
              <w:left w:val="single" w:sz="4" w:color="BDC3C7"/>
              <w:right w:val="single" w:sz="4" w:color="BDC3C7"/>
            </w:tcBorders>
          </w:tcPr>
          <w:p>
            <w:r>
              <w:t>0.65</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Q1 2026 guidance midpoint of $1,760M represents 6% sequential decline from Q4 2025's $1,660M, versus 16% sequential increase in prior year (Q1 2025 $1,160M vs Q4 2024 $999M). This 22 percentage point deterioration in sea  [auto-downgraded: basis contains numbers not found in corpus: 24%, $1760M, $1660M, $1160M]</w:t>
            </w:r>
          </w:p>
        </w:tc>
      </w:tr>
      <w:tr>
        <w:tc>
          <w:tcPr>
            <w:tcW w:type="dxa" w:w="1958"/>
            <w:tcBorders>
              <w:top w:val="single" w:sz="4" w:color="BDC3C7"/>
              <w:bottom w:val="single" w:sz="4" w:color="BDC3C7"/>
              <w:left w:val="single" w:sz="4" w:color="BDC3C7"/>
              <w:right w:val="single" w:sz="4" w:color="BDC3C7"/>
            </w:tcBorders>
          </w:tcPr>
          <w:p>
            <w:r>
              <w:t xml:space="preserve">    e_commerce_contribution</w:t>
            </w:r>
          </w:p>
        </w:tc>
        <w:tc>
          <w:tcPr>
            <w:tcW w:type="dxa" w:w="1958"/>
            <w:tcBorders>
              <w:top w:val="single" w:sz="4" w:color="BDC3C7"/>
              <w:bottom w:val="single" w:sz="4" w:color="BDC3C7"/>
              <w:left w:val="single" w:sz="4" w:color="BDC3C7"/>
              <w:right w:val="single" w:sz="4" w:color="BDC3C7"/>
            </w:tcBorders>
          </w:tcPr>
          <w:p>
            <w:r>
              <w:t>+6.00%</w:t>
            </w:r>
          </w:p>
        </w:tc>
        <w:tc>
          <w:tcPr>
            <w:tcW w:type="dxa" w:w="1958"/>
            <w:tcBorders>
              <w:top w:val="single" w:sz="4" w:color="BDC3C7"/>
              <w:bottom w:val="single" w:sz="4" w:color="BDC3C7"/>
              <w:left w:val="single" w:sz="4" w:color="BDC3C7"/>
              <w:right w:val="single" w:sz="4" w:color="BDC3C7"/>
            </w:tcBorders>
          </w:tcPr>
          <w:p>
            <w:r>
              <w:t>0.45</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Management disclosed e-commerce reached 'billion dollar run rate' but language has shifted from 'substantial growth' in Q2 to 'won't impact our overall numbers for a while' in Q4. CEO Foroughi noted the business 'is real  [auto-downgraded: citation text not found in corpus: 'Q4 2025 call: 'we're not going to see anything that's going to impact our overal...']</w:t>
            </w:r>
          </w:p>
        </w:tc>
      </w:tr>
    </w:tbl>
    <w:p>
      <w:pPr>
        <w:pStyle w:val="ReportCaption"/>
      </w:pPr>
      <w:r>
        <w:t>Evidence: C = cited (verbatim support in corpus),  I = inferred (logical chain from cited facts),  S = speculative (plausible mechanism, no direct support).</w:t>
      </w:r>
    </w:p>
    <w:p>
      <w:pPr>
        <w:pStyle w:val="SubHeading"/>
      </w:pPr>
      <w:r>
        <w:t>Bear revisions:</w:t>
      </w:r>
    </w:p>
    <w:p>
      <w:pPr>
        <w:pStyle w:val="ListBullet"/>
      </w:pPr>
      <w:r>
        <w:t>revenue_growth.core_platform_growth: 25.0 → 18.0 — If macro headwinds (consumer sentiment down 6.5% YoY, unemployment up 2.4%) impact advertising spend with typical 1-2 quarter lag, core platform growth could decelerate further</w:t>
      </w:r>
    </w:p>
    <w:p>
      <w:pPr>
        <w:pStyle w:val="ListBullet"/>
      </w:pPr>
      <w:r>
        <w:t>revenue_growth.e_commerce_contribution: 10.0 → 5.0 — Competitive pressure from Meta expanding bidding activity and structural challenges in conversion optimization could limit e-commerce scaling velocity</w:t>
      </w:r>
    </w:p>
    <w:p>
      <w:pPr>
        <w:pStyle w:val="PullQuote"/>
      </w:pPr>
      <w:r>
        <w:t>Counter: the analyst claims E-commerce expansion faces structural headwinds — but The analyst provides no evidence for these 'structural headwinds' while ignoring that the company just posted 70% growth. The headwinds thesis appears to be pure speculation without supporting data.</w:t>
      </w:r>
    </w:p>
    <w:p>
      <w:pPr>
        <w:pStyle w:val="SectionHeading"/>
      </w:pPr>
      <w:r>
        <w:t>3. Consensus Gap &amp; Valuation</w:t>
      </w:r>
    </w:p>
    <w:p>
      <w:r>
        <w:t>Our EPS: $13.50  =  baseline $15.81  +  Σ claim impacts $-2.31 (14.6% below consensus $15.81)</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$15.81</w:t>
            </w:r>
          </w:p>
        </w:tc>
      </w:tr>
      <w:tr>
        <w:tc>
          <w:tcPr>
            <w:tcW w:type="dxa" w:w="2448"/>
            <w:tcBorders>
              <w:top w:val="single" w:sz="4" w:color="BDC3C7"/>
              <w:bottom w:val="single" w:sz="4" w:color="BDC3C7"/>
              <w:left w:val="single" w:sz="4" w:color="BDC3C7"/>
              <w:right w:val="single" w:sz="4" w:color="BDC3C7"/>
            </w:tcBorders>
          </w:tcPr>
          <w:p>
            <w:r>
              <w:t>EPS (direct)</w:t>
            </w:r>
          </w:p>
        </w:tc>
        <w:tc>
          <w:tcPr>
            <w:tcW w:type="dxa" w:w="2448"/>
            <w:tcBorders>
              <w:top w:val="single" w:sz="4" w:color="BDC3C7"/>
              <w:bottom w:val="single" w:sz="4" w:color="BDC3C7"/>
              <w:left w:val="single" w:sz="4" w:color="BDC3C7"/>
              <w:right w:val="single" w:sz="4" w:color="BDC3C7"/>
            </w:tcBorders>
          </w:tcPr>
          <w:p>
            <w:r>
              <w:t>Cons FY EPS</w:t>
              <w:br/>
              <w:t>$15.81 → $13.50 (Δ $-2.31)</w:t>
            </w:r>
          </w:p>
        </w:tc>
        <w:tc>
          <w:tcPr>
            <w:tcW w:type="dxa" w:w="2448"/>
            <w:tcBorders>
              <w:top w:val="single" w:sz="4" w:color="BDC3C7"/>
              <w:bottom w:val="single" w:sz="4" w:color="BDC3C7"/>
              <w:left w:val="single" w:sz="4" w:color="BDC3C7"/>
              <w:right w:val="single" w:sz="4" w:color="BDC3C7"/>
            </w:tcBorders>
          </w:tcPr>
          <w:p>
            <w:r>
              <w:t>Direct EPS delta: $-2.31/share</w:t>
            </w:r>
          </w:p>
        </w:tc>
        <w:tc>
          <w:tcPr>
            <w:tcW w:type="dxa" w:w="2448"/>
            <w:tcBorders>
              <w:top w:val="single" w:sz="4" w:color="BDC3C7"/>
              <w:bottom w:val="single" w:sz="4" w:color="BDC3C7"/>
              <w:left w:val="single" w:sz="4" w:color="BDC3C7"/>
              <w:right w:val="single" w:sz="4" w:color="BDC3C7"/>
            </w:tcBorders>
          </w:tcPr>
          <w:p>
            <w:r>
              <w:t>-2.31</w:t>
            </w:r>
          </w:p>
        </w:tc>
      </w:tr>
      <w:tr>
        <w:tc>
          <w:tcPr>
            <w:tcW w:type="dxa" w:w="2448"/>
            <w:tcBorders>
              <w:top w:val="single" w:sz="4" w:color="BDC3C7"/>
              <w:bottom w:val="single" w:sz="4" w:color="BDC3C7"/>
              <w:left w:val="single" w:sz="4" w:color="BDC3C7"/>
              <w:right w:val="single" w:sz="4" w:color="BDC3C7"/>
            </w:tcBorders>
          </w:tcPr>
          <w:p>
            <w:r>
              <w:t>Revenue</w:t>
            </w:r>
          </w:p>
        </w:tc>
        <w:tc>
          <w:tcPr>
            <w:tcW w:type="dxa" w:w="2448"/>
            <w:tcBorders>
              <w:top w:val="single" w:sz="4" w:color="BDC3C7"/>
              <w:bottom w:val="single" w:sz="4" w:color="BDC3C7"/>
              <w:left w:val="single" w:sz="4" w:color="BDC3C7"/>
              <w:right w:val="single" w:sz="4" w:color="BDC3C7"/>
            </w:tcBorders>
          </w:tcPr>
          <w:p>
            <w:r>
              <w:t>Cons FY Rev</w:t>
              <w:br/>
              <w:t>$8.1B → $7.4B (Δ $-655M)</w:t>
            </w:r>
          </w:p>
        </w:tc>
        <w:tc>
          <w:tcPr>
            <w:tcW w:type="dxa" w:w="2448"/>
            <w:tcBorders>
              <w:top w:val="single" w:sz="4" w:color="BDC3C7"/>
              <w:bottom w:val="single" w:sz="4" w:color="BDC3C7"/>
              <w:left w:val="single" w:sz="4" w:color="BDC3C7"/>
              <w:right w:val="single" w:sz="4" w:color="BDC3C7"/>
            </w:tcBorders>
          </w:tcPr>
          <w:p>
            <w:r>
              <w:t xml:space="preserve">(supporting view, not summed: same disagreement as 'consensus_fy_eps' through different metric lens) Revenue Δ $-655M × </w:t>
            </w:r>
          </w:p>
        </w:tc>
        <w:tc>
          <w:tcPr>
            <w:tcW w:type="dxa" w:w="2448"/>
            <w:tcBorders>
              <w:top w:val="single" w:sz="4" w:color="BDC3C7"/>
              <w:bottom w:val="single" w:sz="4" w:color="BDC3C7"/>
              <w:left w:val="single" w:sz="4" w:color="BDC3C7"/>
              <w:right w:val="single" w:sz="4" w:color="BDC3C7"/>
            </w:tcBorders>
          </w:tcPr>
          <w:p>
            <w:r>
              <w:t>+0.00  ⚠ Claude said -2.85</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-2.31</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$13.50</w:t>
            </w:r>
          </w:p>
        </w:tc>
      </w:tr>
    </w:tbl>
    <w:p>
      <w:pPr>
        <w:pStyle w:val="PullQuote"/>
      </w:pPr>
      <w:r>
        <w:t xml:space="preserve">  ⚠ Mechanically-overlapping claim deduplicated: 'consensus_fy_revenue' overlaps with selected 'consensus_fy_eps'; only the more comprehensive claim is summed into our_eps.</w:t>
      </w:r>
    </w:p>
    <w:p>
      <w:r>
        <w:t>Our estimate is $2.31 (14.6%) below consensus $15.81. Primary driver: revenue_growth.e_commerce_contribution (ours +6.0 vs street +25.0, contributing $-2.282 to EPS variant, evidence: weak). Variant appears NOT fully priced in based on available market data. Next catalyst: Next quarterly earnings report (2026-05-06 (2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revenue_growth.e_commerce_contribution</w:t>
            </w:r>
          </w:p>
        </w:tc>
        <w:tc>
          <w:tcPr>
            <w:tcW w:type="dxa" w:w="1958"/>
            <w:tcBorders>
              <w:top w:val="single" w:sz="4" w:color="BDC3C7"/>
              <w:bottom w:val="single" w:sz="4" w:color="BDC3C7"/>
              <w:left w:val="single" w:sz="4" w:color="BDC3C7"/>
              <w:right w:val="single" w:sz="4" w:color="BDC3C7"/>
            </w:tcBorders>
          </w:tcPr>
          <w:p>
            <w:r>
              <w:t>+6.00</w:t>
            </w:r>
          </w:p>
        </w:tc>
        <w:tc>
          <w:tcPr>
            <w:tcW w:type="dxa" w:w="1958"/>
            <w:tcBorders>
              <w:top w:val="single" w:sz="4" w:color="BDC3C7"/>
              <w:bottom w:val="single" w:sz="4" w:color="BDC3C7"/>
              <w:left w:val="single" w:sz="4" w:color="BDC3C7"/>
              <w:right w:val="single" w:sz="4" w:color="BDC3C7"/>
            </w:tcBorders>
          </w:tcPr>
          <w:p>
            <w:r>
              <w:t>+25.02</w:t>
            </w:r>
          </w:p>
        </w:tc>
        <w:tc>
          <w:tcPr>
            <w:tcW w:type="dxa" w:w="1958"/>
            <w:tcBorders>
              <w:top w:val="single" w:sz="4" w:color="BDC3C7"/>
              <w:bottom w:val="single" w:sz="4" w:color="BDC3C7"/>
              <w:left w:val="single" w:sz="4" w:color="BDC3C7"/>
              <w:right w:val="single" w:sz="4" w:color="BDC3C7"/>
            </w:tcBorders>
          </w:tcPr>
          <w:p>
            <w:r>
              <w:t>-2.282</w:t>
            </w:r>
          </w:p>
        </w:tc>
        <w:tc>
          <w:tcPr>
            <w:tcW w:type="dxa" w:w="1958"/>
            <w:tcBorders>
              <w:top w:val="single" w:sz="4" w:color="BDC3C7"/>
              <w:bottom w:val="single" w:sz="4" w:color="BDC3C7"/>
              <w:left w:val="single" w:sz="4" w:color="BDC3C7"/>
              <w:right w:val="single" w:sz="4" w:color="BDC3C7"/>
            </w:tcBorders>
          </w:tcPr>
          <w:p>
            <w:r>
              <w:t>0.25</w:t>
            </w:r>
          </w:p>
        </w:tc>
      </w:tr>
      <w:tr>
        <w:tc>
          <w:tcPr>
            <w:tcW w:type="dxa" w:w="1958"/>
            <w:tcBorders>
              <w:top w:val="single" w:sz="4" w:color="BDC3C7"/>
              <w:bottom w:val="single" w:sz="4" w:color="BDC3C7"/>
              <w:left w:val="single" w:sz="4" w:color="BDC3C7"/>
              <w:right w:val="single" w:sz="4" w:color="BDC3C7"/>
            </w:tcBorders>
          </w:tcPr>
          <w:p>
            <w:r>
              <w:t>revenue_growth.core_platform_growth</w:t>
            </w:r>
          </w:p>
        </w:tc>
        <w:tc>
          <w:tcPr>
            <w:tcW w:type="dxa" w:w="1958"/>
            <w:tcBorders>
              <w:top w:val="single" w:sz="4" w:color="BDC3C7"/>
              <w:bottom w:val="single" w:sz="4" w:color="BDC3C7"/>
              <w:left w:val="single" w:sz="4" w:color="BDC3C7"/>
              <w:right w:val="single" w:sz="4" w:color="BDC3C7"/>
            </w:tcBorders>
          </w:tcPr>
          <w:p>
            <w:r>
              <w:t>+18.00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0.45</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(-14.6%) exceeds implied move (8.6%)</w:t>
      </w:r>
    </w:p>
    <w:p>
      <w:r>
        <w:t>Edge verdict: POSSIBLE_EDGE (score 0.050).</w:t>
      </w:r>
    </w:p>
    <w:p>
      <w:pPr>
        <w:pStyle w:val="SectionHeading"/>
      </w:pPr>
      <w:r>
        <w:t>4. Catalysts</w:t>
      </w:r>
    </w:p>
    <w:p>
      <w:pPr>
        <w:pStyle w:val="ListBullet"/>
      </w:pPr>
      <w:r>
        <w:t>Next quarterly earnings report (2026-05-06 (2 days)) — resolves revenue + margins + guidance; confirms or challenges</w:t>
      </w:r>
    </w:p>
    <w:p>
      <w:pPr>
        <w:pStyle w:val="ListBullet"/>
      </w:pPr>
      <w:r>
        <w:t>Resolution: E-commerce expansion will drive sustained high growth rates (Resolves at earnings (2026-05-06)) — resolves revenue_growth; confirms or challenges</w:t>
      </w:r>
    </w:p>
    <w:p>
      <w:pPr>
        <w:pStyle w:val="ListBullet"/>
      </w:pPr>
      <w:r>
        <w:t>Resolution: Current 82% EBITDA margins are sustainable as business scales (Resolves at earnings (2026-05-06)) — resolves revenue_growth; confirms or challenges</w:t>
      </w:r>
    </w:p>
    <w:p>
      <w:pPr>
        <w:pStyle w:val="ListBullet"/>
      </w:pPr>
      <w:r>
        <w:t>Resolution: Analyst blind spot (Multi-year thesis -- patience required) — resolves general; confirms or challenges</w:t>
      </w:r>
    </w:p>
    <w:p>
      <w:pPr>
        <w:pStyle w:val="ListBullet"/>
      </w:pPr>
      <w:r>
        <w:t>Specific e-commerce margin profile versus gaming advertising (Unknown timing) — resolves multiple; resolves uncertainty</w:t>
      </w:r>
    </w:p>
    <w:p>
      <w:pPr>
        <w:pStyle w:val="ListBullet"/>
      </w:pPr>
      <w:r>
        <w:t>Quantified impact of Meta's expanded bidding activity on platform economics (Unknown timing) — resolves multiple; resolves uncertainty</w:t>
      </w:r>
    </w:p>
    <w:p>
      <w:pPr>
        <w:pStyle w:val="SectionHeading"/>
      </w:pPr>
      <w:r>
        <w:t>5. Risks, Blind Spots &amp; Kill Criteria</w:t>
      </w:r>
    </w:p>
    <w:p>
      <w:pPr>
        <w:pStyle w:val="SubHeading"/>
      </w:pPr>
      <w:r>
        <w:t>Top risks:</w:t>
      </w:r>
    </w:p>
    <w:p>
      <w:pPr>
        <w:pStyle w:val="ListBullet"/>
      </w:pPr>
      <w:r>
        <w:t>E-commerce expansion will drive sustained high growth rates — counter: Management language shifted from 'substantial growth' in Q2 to 'won't impact our overall numbers for a while' in Q4, while acknowledging e-commerce model 'is really in its infancy' and requires extended iteration periods [serious]</w:t>
      </w:r>
    </w:p>
    <w:p>
      <w:pPr>
        <w:pStyle w:val="ListBullet"/>
      </w:pPr>
      <w:r>
        <w:t>The analyst assumes Q1 2026 guidance shows 'sequential deceleration' supporting their bear case — counter: Filing shows Q1 2026 revenue guidance of $1,745-1,775M vs Q4 2025 actual of $1,658M, indicating 5-7% sequential growth, not deceleration (source: filing) [serious]</w:t>
      </w:r>
    </w:p>
    <w:p>
      <w:pPr>
        <w:pStyle w:val="ListBullet"/>
      </w:pPr>
      <w:r>
        <w:t>Current 82% EBITDA margins are sustainable as business scales — counter: E-commerce advertising faces structural complexity differences versus gaming, with CEO noting conversion optimization 'takes us a while' and competitive dynamics including Meta, Google, Amazon with superior first-party data [moderate]</w:t>
      </w:r>
    </w:p>
    <w:p>
      <w:pPr>
        <w:pStyle w:val="SubHeading"/>
      </w:pPr>
      <w:r>
        <w:t>Blind spots (auditor-independent):</w:t>
      </w:r>
    </w:p>
    <w:p>
      <w:pPr>
        <w:pStyle w:val="ListBullet"/>
      </w:pPr>
      <w:r>
        <w:t>Leadership transition risk - CTO and Chief Legal Officer both leaving within months (source: press releases), creating execution risk during critical growth phase</w:t>
      </w:r>
    </w:p>
    <w:p>
      <w:pPr>
        <w:pStyle w:val="ListBullet"/>
      </w:pPr>
      <w:r>
        <w:t>Short-seller fraud allegations completely ignored - Fuzzy Panda and Culper Research have published detailed reports alleging ad fraud, illegal child tracking, and data theft from Meta (source: bear research)</w:t>
      </w:r>
    </w:p>
    <w:p>
      <w:pPr>
        <w:pStyle w:val="ListBullet"/>
      </w:pPr>
      <w:r>
        <w:t>Macro headwinds to mobile advertising - unemployment up 2.4% YoY and consumer sentiment down 6.5% YoY could pressure advertiser spend (source: macro context)</w:t>
      </w:r>
    </w:p>
    <w:p>
      <w:pPr>
        <w:pStyle w:val="KillCriteria"/>
      </w:pPr>
      <w:r>
        <w:t>What would change our mind: Print on revenue_growth.e_commerce_contribution comes in above our +6.0 figure (toward street +25.0) in the next 1-2 prints.</w:t>
      </w:r>
    </w:p>
    <w:p>
      <w:pPr>
        <w:pStyle w:val="SectionHeading"/>
      </w:pPr>
      <w:r>
        <w:t>Appendix</w:t>
      </w:r>
    </w:p>
    <w:p>
      <w:pPr>
        <w:pStyle w:val="SubHeading"/>
      </w:pPr>
      <w:r>
        <w:t>Business context:</w:t>
      </w:r>
    </w:p>
    <w:p>
      <w:r>
        <w:t>AppLovin operates a mobile advertising platform that connects advertisers with mobile game publishers through its MAX mediation platform and AXON bidding engine. The company generates revenue by taking a percentage of advertising transactions, with ~88% gross margins reflecting its asset-light marketplace model.</w:t>
      </w:r>
    </w:p>
    <w:p>
      <w:pPr>
        <w:pStyle w:val="SubHeading"/>
      </w:pPr>
      <w:r>
        <w:t>Evidence gaps (research TODO):</w:t>
      </w:r>
    </w:p>
    <w:p>
      <w:pPr>
        <w:pStyle w:val="ListBullet"/>
      </w:pPr>
      <w:r>
        <w:t>Specific e-commerce margin profile versus gaming advertising</w:t>
      </w:r>
    </w:p>
    <w:p>
      <w:pPr>
        <w:pStyle w:val="ListBullet"/>
      </w:pPr>
      <w:r>
        <w:t>Quantified impact of Meta's expanded bidding activity on platform economics</w:t>
      </w:r>
    </w:p>
    <w:p>
      <w:pPr>
        <w:pStyle w:val="ListBullet"/>
      </w:pPr>
      <w:r>
        <w:t>Breakdown of Q1 2026 sequential decline between seasonality versus underlying momentum</w:t>
      </w:r>
    </w:p>
    <w:p>
      <w:pPr>
        <w:pStyle w:val="ListBullet"/>
      </w:pPr>
      <w:r>
        <w:t>Normalized tax rate guidance for 2026-2027</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