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Current: $475.00</w:t>
      </w:r>
    </w:p>
    <w:p>
      <w:pPr>
        <w:pStyle w:val="SubHeading"/>
      </w:pPr>
      <w:r>
        <w:t>Summary</w:t>
      </w:r>
    </w:p>
    <w:p>
      <w:pPr>
        <w:pStyle w:val="ListBullet"/>
      </w:pPr>
      <w:r>
        <w:t>Thesis: No clear edge identified on the primary revenue trajectory, but potential margin upside from operating leverage not fully captured in consensus models.</w:t>
      </w:r>
    </w:p>
    <w:p>
      <w:pPr>
        <w:pStyle w:val="ListBullet"/>
      </w:pPr>
      <w:r>
        <w:t>Next catalyst: Next quarterly earnings report (2026-05-06 (2 days))</w:t>
      </w:r>
    </w:p>
    <w:p>
      <w:pPr>
        <w:pStyle w:val="ListBullet"/>
      </w:pPr>
      <w:r>
        <w:t>Top risk: analyst assumes 22% organic platform growth and 13.2% ecommerce contribution for revenue modeling</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1 finding(s) — inferred→speculative: 1</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 delivered exceptional FY2025 results with $5.48 billion in revenue (up 70% year-over-year) and $4.51 billion in adjusted EBITDA (up 87% year-over-year), achieving an 82% adjusted EBITDA margin that CEO Adam Foroughi described as 'a margin profile that very few companies ever achieve, let alone sustain at this scale.' The core driver was continued technology advancement in their Axon machine learning platform, which has created a powerful flywheel where more impressions and conversions make the model smarter, driving higher conversion rates and CPMs.</w:t>
      </w:r>
    </w:p>
    <w:p>
      <w:r>
        <w:t>The Q1 2026 guidance provides important anchoring for the full-year trajectory. Management guided Q1 2026 revenue of $1,745-1,775 million (midpoint $1,760M), representing approximately 6.5% sequential decline from Q4 2025's $1,658M. However, this sequential pattern appears consistent with historical seasonality - in the Q2 2025 call, management noted that 'Q2, you actually don't have almost anything as only the tail end gets into summer' and 'if you look last year at our quarter over quarter sequential growth, the only single digit quarter was Q2.' This suggests Q1 typically benefits from holiday carryover while Q2 faces seasonal headwinds.</w:t>
      </w:r>
    </w:p>
    <w:p>
      <w:pPr>
        <w:pStyle w:val="PullQuote"/>
      </w:pPr>
      <w:r>
        <w:t>Counter: the analyst claims no clear edge identified on primary revenue trajectory, but potential margin upside from operating leverage — but Q1 2026 guidance shows flat 84% EBITDA margins with no operating leverage expansion visible. The 'edge' appears to be hoping for margin expansion that management itself isn't guiding for. This isn't an edge - it's wishful thinking against management's own forecast.</w:t>
      </w:r>
    </w:p>
    <w:p>
      <w:r>
        <w:t>Applying the Q1 guide to full-year math reveals potential tension with street expectations. The $1,760M Q1 midpoint, if we assume normal seasonal patterns where Q1 represents roughly 22-24% of full-year revenue for advertising-driven businesses, would imply FY2026 revenue of $7.3-8.0 billion. This sits within but toward the lower end of consensus FY2026 revenue expectations of $8,055M (range $7,639-8,641M). The street appears to be modeling more aggressive sequential acceleration through the year, potentially underestimating the seasonal dynamics that management highlighted.</w:t>
      </w:r>
    </w:p>
    <w:p>
      <w:r>
        <w:t>The e-commerce expansion story remains compelling but early-stage. In the Q4 2025 call, management disclosed they opened the self-service platform on a referral-only basis in October 2025, with CEO Foroughi noting 'we're already seeing spend from these self-service advertisers grow around roughly 50% week over week.' However, he cautioned 'it's too soon to be significant' and 'we're not going to see anything that's going to impact our overall numbers for a while.' Management expects to open the platform broadly beyond referral basis in the first half of 2026, but the revenue contribution timeline appears more backend-loaded than consensus may be modeling.</w:t>
      </w:r>
    </w:p>
    <w:p>
      <w:r>
        <w:t>Margin trajectory deserves particular attention given the exceptional operating leverage demonstrated. The Q4 2025 flow-through from revenue to adjusted EBITDA was described as 'over 700 basis points' of margin expansion year-over-year, with quarterly flow-through rates consistently in the 90%+ range. In Q3 2025, CFO Matt Stumpf noted 'quarter-over-quarter flow-through to adjusted EBITDA was 95%, slightly above Q2.' This suggests the business model's incremental margins are approaching pure software economics, where additional revenue drops almost entirely to EBITDA.</w:t>
      </w:r>
    </w:p>
    <w:p>
      <w:r>
        <w:t>The competitive moat discussion in recent calls provides confidence in sustainability. When asked about Meta increasing competition in the MAX auction, CEO Foroughi explained: 'every time this has happened, there's been this confusion around, well, in an auction dynamic-based system, competition should decay AppLovin's edge. You've never seen that happen... every impression is not worth the same thing. Our model is exceptionally good at valuing the impression for what it is.' He noted that when competitors take lower-value impressions, AppLovin still captures a 5% tax on those transactions while focusing their bidding on higher-value inventory where their data advantage is strongest.</w:t>
      </w:r>
    </w:p>
    <w:p>
      <w:r>
        <w:t>Capital allocation remains shareholder-friendly with aggressive buybacks funded by free cash flow. The company repurchased $2.58 billion of shares in FY2025, reducing weighted average diluted shares from 346 million to approximately 340 million. With $3.28 billion remaining in buyback authorization and free cash flow of $3.95 billion in FY2025, the share count reduction should continue providing EPS tailwinds beyond operational growth.</w:t>
      </w:r>
    </w:p>
    <w:p>
      <w:r>
        <w:t>However, several factors warrant caution on the growth trajectory. The business faces increasingly difficult comparisons, with FY2025's 70% growth creating a high bar for FY2026. Management's language around e-commerce timing suggests patience is required, with the self-service platform still in referral-only mode and broad launch pushed to first half 2026. Additionally, the mobile gaming market's underlying growth rate of 3-5% that management referenced provides a ceiling on organic expansion, making the e-commerce diversification critical for sustaining high growth rates.</w:t>
      </w:r>
    </w:p>
    <w:p>
      <w:r>
        <w:t>The bear case centers on scale limitations and competitive pressure. Short-seller reports from Fuzzy Panda and Culper Research have alleged ad fraud and data practices concerns, though these remain unsubstantiated allegations. More fundamentally, at $5.5 billion in revenue, AppLovin is approaching a scale where maintaining 40%+ growth becomes mathematically challenging without successful category expansion beyond mobile gaming.</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+29.92%</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organic_platform_growth</w:t>
            </w:r>
          </w:p>
        </w:tc>
        <w:tc>
          <w:tcPr>
            <w:tcW w:type="dxa" w:w="1958"/>
            <w:tcBorders>
              <w:top w:val="single" w:sz="4" w:color="BDC3C7"/>
              <w:bottom w:val="single" w:sz="4" w:color="BDC3C7"/>
              <w:left w:val="single" w:sz="4" w:color="BDC3C7"/>
              <w:right w:val="single" w:sz="4" w:color="BDC3C7"/>
            </w:tcBorders>
          </w:tcPr>
          <w:p>
            <w:r>
              <w:t>+22.00%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8C1D40"/>
              </w:rPr>
              <w:t>S</w:t>
            </w:r>
          </w:p>
        </w:tc>
        <w:tc>
          <w:tcPr>
            <w:tcW w:type="dxa" w:w="1958"/>
            <w:tcBorders>
              <w:top w:val="single" w:sz="4" w:color="BDC3C7"/>
              <w:bottom w:val="single" w:sz="4" w:color="BDC3C7"/>
              <w:left w:val="single" w:sz="4" w:color="BDC3C7"/>
              <w:right w:val="single" w:sz="4" w:color="BDC3C7"/>
            </w:tcBorders>
          </w:tcPr>
          <w:p>
            <w:r>
              <w:rPr>
                <w:i/>
              </w:rPr>
              <w:t>In the Q4 2025 call, CEO Foroughi noted the underlying mobile gaming market grows 3-5% but AppLovin's platform benefits from 'double-digit growth' in the MAX mediation audience base. The Q1 2026 guidance midpoint of $1,7  [auto-downgraded: basis contains numbers not found in corpus: $1760M, $1658M]</w:t>
            </w:r>
          </w:p>
        </w:tc>
      </w:tr>
      <w:tr>
        <w:tc>
          <w:tcPr>
            <w:tcW w:type="dxa" w:w="1958"/>
            <w:tcBorders>
              <w:top w:val="single" w:sz="4" w:color="BDC3C7"/>
              <w:bottom w:val="single" w:sz="4" w:color="BDC3C7"/>
              <w:left w:val="single" w:sz="4" w:color="BDC3C7"/>
              <w:right w:val="single" w:sz="4" w:color="BDC3C7"/>
            </w:tcBorders>
          </w:tcPr>
          <w:p>
            <w:r>
              <w:t xml:space="preserve">    ecommerce_contribution</w:t>
            </w:r>
          </w:p>
        </w:tc>
        <w:tc>
          <w:tcPr>
            <w:tcW w:type="dxa" w:w="1958"/>
            <w:tcBorders>
              <w:top w:val="single" w:sz="4" w:color="BDC3C7"/>
              <w:bottom w:val="single" w:sz="4" w:color="BDC3C7"/>
              <w:left w:val="single" w:sz="4" w:color="BDC3C7"/>
              <w:right w:val="single" w:sz="4" w:color="BDC3C7"/>
            </w:tcBorders>
          </w:tcPr>
          <w:p>
            <w:r>
              <w:t>+7.92%</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8C1D40"/>
              </w:rPr>
              <w:t>S</w:t>
            </w:r>
          </w:p>
        </w:tc>
        <w:tc>
          <w:tcPr>
            <w:tcW w:type="dxa" w:w="1958"/>
            <w:tcBorders>
              <w:top w:val="single" w:sz="4" w:color="BDC3C7"/>
              <w:bottom w:val="single" w:sz="4" w:color="BDC3C7"/>
              <w:left w:val="single" w:sz="4" w:color="BDC3C7"/>
              <w:right w:val="single" w:sz="4" w:color="BDC3C7"/>
            </w:tcBorders>
          </w:tcPr>
          <w:p>
            <w:r>
              <w:rPr>
                <w:i/>
              </w:rPr>
              <w:t>Management opened self-service platform in Q4 2025 on referral-only basis, with CEO noting 'spend from these self-service advertisers grow around roughly 50% week over week' but cautioning 'we're not going to see anythin</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revenue_growth.ecommerce_contribution: 13.2 → 5.0 — E-commerce platform scaling takes longer than expected, with broad launch delayed beyond first half 2026 and advertiser onboarding proceeding more slowly than anticipated</w:t>
      </w:r>
    </w:p>
    <w:p>
      <w:pPr>
        <w:pStyle w:val="PullQuote"/>
      </w:pPr>
      <w:r>
        <w:t>Counter: the analyst claims ecommerce expansion will drive 13.2% revenue contribution — but Multiple bear research reports allege the ecommerce success relies on 'copying Meta's data' and potentially fraudulent practices. If true, this expansion is built on unsustainable/illegal foundations that could face regulatory shutdown. The analyst hasn't addressed this existential risk to the key growth driver.</w:t>
      </w:r>
    </w:p>
    <w:p>
      <w:pPr>
        <w:pStyle w:val="SectionHeading"/>
      </w:pPr>
      <w:r>
        <w:t>3. Consensus Gap &amp; Valuation</w:t>
      </w:r>
    </w:p>
    <w:p>
      <w:r>
        <w:t>Our EPS: $15.81  =  baseline $15.81  +  Σ claim impacts $+0.00 (0.0%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$15.81</w:t>
            </w:r>
          </w:p>
        </w:tc>
      </w:tr>
    </w:tbl>
    <w:p>
      <w:pPr>
        <w:pStyle w:val="PullQuote"/>
      </w:pPr>
      <w:r>
        <w:t xml:space="preserve">  ⚠ No edge claims; our EPS matches baseline (consensus).</w:t>
      </w:r>
    </w:p>
    <w:p>
      <w:r>
        <w:t>Our estimate is $0.00 (0.0%) below consensus $15.81. Primary driver: revenue_growth.ecommerce_contribution (ours +7.9 vs street +20.9, contributing $-1.690 to EPS variant, evidence: weak). Variant appears within market noise -- may already be priced in.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revenue_growth.ecommerce_contribution</w:t>
            </w:r>
          </w:p>
        </w:tc>
        <w:tc>
          <w:tcPr>
            <w:tcW w:type="dxa" w:w="1958"/>
            <w:tcBorders>
              <w:top w:val="single" w:sz="4" w:color="BDC3C7"/>
              <w:bottom w:val="single" w:sz="4" w:color="BDC3C7"/>
              <w:left w:val="single" w:sz="4" w:color="BDC3C7"/>
              <w:right w:val="single" w:sz="4" w:color="BDC3C7"/>
            </w:tcBorders>
          </w:tcPr>
          <w:p>
            <w:r>
              <w:t>+7.92</w:t>
            </w:r>
          </w:p>
        </w:tc>
        <w:tc>
          <w:tcPr>
            <w:tcW w:type="dxa" w:w="1958"/>
            <w:tcBorders>
              <w:top w:val="single" w:sz="4" w:color="BDC3C7"/>
              <w:bottom w:val="single" w:sz="4" w:color="BDC3C7"/>
              <w:left w:val="single" w:sz="4" w:color="BDC3C7"/>
              <w:right w:val="single" w:sz="4" w:color="BDC3C7"/>
            </w:tcBorders>
          </w:tcPr>
          <w:p>
            <w:r>
              <w:t>+20.92</w:t>
            </w:r>
          </w:p>
        </w:tc>
        <w:tc>
          <w:tcPr>
            <w:tcW w:type="dxa" w:w="1958"/>
            <w:tcBorders>
              <w:top w:val="single" w:sz="4" w:color="BDC3C7"/>
              <w:bottom w:val="single" w:sz="4" w:color="BDC3C7"/>
              <w:left w:val="single" w:sz="4" w:color="BDC3C7"/>
              <w:right w:val="single" w:sz="4" w:color="BDC3C7"/>
            </w:tcBorders>
          </w:tcPr>
          <w:p>
            <w:r>
              <w:t>-1.690</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revenue_growth.organic_platform_growth</w:t>
            </w:r>
          </w:p>
        </w:tc>
        <w:tc>
          <w:tcPr>
            <w:tcW w:type="dxa" w:w="1958"/>
            <w:tcBorders>
              <w:top w:val="single" w:sz="4" w:color="BDC3C7"/>
              <w:bottom w:val="single" w:sz="4" w:color="BDC3C7"/>
              <w:left w:val="single" w:sz="4" w:color="BDC3C7"/>
              <w:right w:val="single" w:sz="4" w:color="BDC3C7"/>
            </w:tcBorders>
          </w:tcPr>
          <w:p>
            <w:r>
              <w:t>+22.00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(8.6%)</w:t>
      </w:r>
    </w:p>
    <w:p>
      <w:r>
        <w:t>Edge verdict: NO_CLEAR_EDGE (score 0.000).</w:t>
      </w:r>
    </w:p>
    <w:p>
      <w:pPr>
        <w:pStyle w:val="PullQuote"/>
      </w:pPr>
      <w:r>
        <w:t>Counter: the analyst claims 47% revenue growth expectations for FY2026 are achievable given the scale — but Q1 2026 guidance implies significant deceleration from 70% FY2025 growth to potentially sub-30% rates. Major leadership departures (CTO, CLO) during critical scaling phase add execution risk. The 47% consensus appears divorced from the sequential guidance reality and management transition risks.</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expansion will drive material FY2026 acceleration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e-commerce revenue contribution or advertiser count metrics (Unknown timing) — resolves multiple; resolves uncertainty</w:t>
      </w:r>
    </w:p>
    <w:p>
      <w:pPr>
        <w:pStyle w:val="ListBullet"/>
      </w:pPr>
      <w:r>
        <w:t>Detailed breakdown of MAX vs DSP revenue growth rates (Unknown timing) — resolves multiple; resolves uncertainty</w:t>
      </w:r>
    </w:p>
    <w:p>
      <w:pPr>
        <w:pStyle w:val="SectionHeading"/>
      </w:pPr>
      <w:r>
        <w:t>5. Risks, Blind Spots &amp; Kill Criteria</w:t>
      </w:r>
    </w:p>
    <w:p>
      <w:pPr>
        <w:pStyle w:val="SubHeading"/>
      </w:pPr>
      <w:r>
        <w:t>Top risks:</w:t>
      </w:r>
    </w:p>
    <w:p>
      <w:pPr>
        <w:pStyle w:val="ListBullet"/>
      </w:pPr>
      <w:r>
        <w:t>analyst assumes 22% organic platform growth and 13.2% ecommerce contribution for revenue modeling — counter: Q1 2026 guidance shows $1,745-1,775M revenue vs Q4 2025 $1,658M (5-7% sequential growth), suggesting deceleration from 70% FY2025 growth rate. Filing shows massive share buybacks of $2.58B in 2025, indicating potential concerns about organic reinvestment opportunities [serious]</w:t>
      </w:r>
    </w:p>
    <w:p>
      <w:pPr>
        <w:pStyle w:val="ListBullet"/>
      </w:pPr>
      <w:r>
        <w:t>analyst assumes sustainable growth trajectory into FY2026 — counter: Bear research from Fuzzy Panda and Culper alleges ad fraud, illegal tracking of children, and misleading AI claims. Q4 2025 earnings call shows unusual and thin data points from advertising channels, suggesting potential measurement/attribution issues [serious]</w:t>
      </w:r>
    </w:p>
    <w:p>
      <w:pPr>
        <w:pStyle w:val="ListBullet"/>
      </w:pPr>
      <w:r>
        <w:t>E-commerce expansion will drive material FY2026 acceleration — counter: CEO Foroughi explicitly stated 'we're not going to see anything that's going to impact our overall numbers for a while' regarding e-commerce self-service growth, and platform remains referral-only through Q1 2026 [moderate]</w:t>
      </w:r>
    </w:p>
    <w:p>
      <w:pPr>
        <w:pStyle w:val="SubHeading"/>
      </w:pPr>
      <w:r>
        <w:t>Blind spots (auditor-independent):</w:t>
      </w:r>
    </w:p>
    <w:p>
      <w:pPr>
        <w:pStyle w:val="ListBullet"/>
      </w:pPr>
      <w:r>
        <w:t>Major leadership transition risk with CTO and Chief Legal Officer departing in July-August 2026, potentially disrupting technology development during critical scaling phase</w:t>
      </w:r>
    </w:p>
    <w:p>
      <w:pPr>
        <w:pStyle w:val="ListBullet"/>
      </w:pPr>
      <w:r>
        <w:t>Regulatory scrutiny risk from alleged child privacy violations and ad fraud practices highlighted in bear research, which could result in fines or platform restrictions</w:t>
      </w:r>
    </w:p>
    <w:p>
      <w:pPr>
        <w:pStyle w:val="ListBullet"/>
      </w:pPr>
      <w:r>
        <w:t>Capital allocation red flag: $2.58B in share buybacks (47% of revenue) suggests management may lack confidence in organic growth opportunities despite growth narrative</w:t>
      </w:r>
    </w:p>
    <w:p>
      <w:pPr>
        <w:pStyle w:val="KillCriteria"/>
      </w:pPr>
      <w:r>
        <w:t>What would change our mind: Print on revenue_growth.ecommerce_contribution comes in above our +7.9 figure (toward street +20.9) in the next 1-2 prints.</w:t>
      </w:r>
    </w:p>
    <w:p>
      <w:pPr>
        <w:pStyle w:val="SectionHeading"/>
      </w:pPr>
      <w:r>
        <w:t>Appendix</w:t>
      </w:r>
    </w:p>
    <w:p>
      <w:pPr>
        <w:pStyle w:val="SubHeading"/>
      </w:pPr>
      <w:r>
        <w:t>Business context:</w:t>
      </w:r>
    </w:p>
    <w:p>
      <w:r>
        <w:t>AppLovin operates a mobile advertising platform with two core segments: a demand-side platform (DSP) that helps advertisers acquire users through machine learning optimization, and a supply-side mediation platform (MAX) that helps mobile game publishers monetize their inventory through programmatic auctions.</w:t>
      </w:r>
    </w:p>
    <w:p>
      <w:pPr>
        <w:pStyle w:val="SubHeading"/>
      </w:pPr>
      <w:r>
        <w:t>Evidence gaps (research TODO):</w:t>
      </w:r>
    </w:p>
    <w:p>
      <w:pPr>
        <w:pStyle w:val="ListBullet"/>
      </w:pPr>
      <w:r>
        <w:t>Specific e-commerce revenue contribution or advertiser count metrics</w:t>
      </w:r>
    </w:p>
    <w:p>
      <w:pPr>
        <w:pStyle w:val="ListBullet"/>
      </w:pPr>
      <w:r>
        <w:t>Detailed breakdown of MAX vs DSP revenue growth rates</w:t>
      </w:r>
    </w:p>
    <w:p>
      <w:pPr>
        <w:pStyle w:val="ListBullet"/>
      </w:pPr>
      <w:r>
        <w:t>Competitive win/loss data in e-commerce advertising</w:t>
      </w:r>
    </w:p>
    <w:p>
      <w:pPr>
        <w:pStyle w:val="ListBullet"/>
      </w:pPr>
      <w:r>
        <w:t>International expansion timeline and contribution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