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APP — APP</w:t>
      </w:r>
    </w:p>
    <w:p>
      <w:pPr>
        <w:pStyle w:val="SmallMeta"/>
      </w:pPr>
      <w:r>
        <w:t>As of 2026-05-04  |  Schema: general  |  Data: polygon+alpha_vantage (FY2025)</w:t>
      </w:r>
    </w:p>
    <w:p>
      <w:pPr>
        <w:pStyle w:val="SubHeading"/>
      </w:pPr>
      <w:r>
        <w:rPr>
          <w:color w:val="8C1D40"/>
        </w:rPr>
        <w:t>Direction: SHORT | Current: $475.00</w:t>
      </w:r>
    </w:p>
    <w:p>
      <w:pPr>
        <w:pStyle w:val="SubHeading"/>
      </w:pPr>
      <w:r>
        <w:t>Summary</w:t>
      </w:r>
    </w:p>
    <w:p>
      <w:pPr>
        <w:pStyle w:val="ListBullet"/>
      </w:pPr>
      <w:r>
        <w:t>Thesis: Consensus FY2026 revenue growth of +47% appears unsustainable based on Q1 2026 guidance implying significant deceleration, while e-commerce expansion faces structural headwinds from increased competition and potential regulatory scrutiny.</w:t>
      </w:r>
    </w:p>
    <w:p>
      <w:pPr>
        <w:pStyle w:val="ListBullet"/>
      </w:pPr>
      <w:r>
        <w:t>Next catalyst: Next quarterly earnings report (2026-05-06 (2 days))</w:t>
      </w:r>
    </w:p>
    <w:p>
      <w:pPr>
        <w:pStyle w:val="ListBullet"/>
      </w:pPr>
      <w:r>
        <w:t>Top risk: E-commerce expansion will drive sustained hyper-growth</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2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$3.45</w:t>
            </w:r>
          </w:p>
        </w:tc>
        <w:tc>
          <w:tcPr>
            <w:tcW w:type="dxa" w:w="1399"/>
            <w:tcBorders>
              <w:top w:val="single" w:sz="4" w:color="BDC3C7"/>
              <w:bottom w:val="single" w:sz="4" w:color="BDC3C7"/>
              <w:left w:val="single" w:sz="4" w:color="BDC3C7"/>
              <w:right w:val="single" w:sz="4" w:color="BDC3C7"/>
            </w:tcBorders>
          </w:tcPr>
          <w:p>
            <w:r>
              <w:t>$3.15 – $3.76</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+106.8%</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$3.69</w:t>
            </w:r>
          </w:p>
        </w:tc>
        <w:tc>
          <w:tcPr>
            <w:tcW w:type="dxa" w:w="1399"/>
            <w:tcBorders>
              <w:top w:val="single" w:sz="4" w:color="BDC3C7"/>
              <w:bottom w:val="single" w:sz="4" w:color="BDC3C7"/>
              <w:left w:val="single" w:sz="4" w:color="BDC3C7"/>
              <w:right w:val="single" w:sz="4" w:color="BDC3C7"/>
            </w:tcBorders>
          </w:tcPr>
          <w:p>
            <w:r>
              <w:t>$3.35 – $4.05</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+54.2%</w:t>
            </w:r>
          </w:p>
        </w:tc>
        <w:tc>
          <w:tcPr>
            <w:tcW w:type="dxa" w:w="1399"/>
            <w:tcBorders>
              <w:top w:val="single" w:sz="4" w:color="BDC3C7"/>
              <w:bottom w:val="single" w:sz="4" w:color="BDC3C7"/>
              <w:left w:val="single" w:sz="4" w:color="BDC3C7"/>
              <w:right w:val="single" w:sz="4" w:color="BDC3C7"/>
            </w:tcBorders>
          </w:tcPr>
          <w:p>
            <w:r>
              <w:t>↑ +0.018</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$15.81</w:t>
            </w:r>
          </w:p>
        </w:tc>
        <w:tc>
          <w:tcPr>
            <w:tcW w:type="dxa" w:w="1399"/>
            <w:tcBorders>
              <w:top w:val="single" w:sz="4" w:color="BDC3C7"/>
              <w:bottom w:val="single" w:sz="4" w:color="BDC3C7"/>
              <w:left w:val="single" w:sz="4" w:color="BDC3C7"/>
              <w:right w:val="single" w:sz="4" w:color="BDC3C7"/>
            </w:tcBorders>
          </w:tcPr>
          <w:p>
            <w:r>
              <w:t>$14.32 – $17.62</w:t>
            </w:r>
          </w:p>
        </w:tc>
        <w:tc>
          <w:tcPr>
            <w:tcW w:type="dxa" w:w="1399"/>
            <w:tcBorders>
              <w:top w:val="single" w:sz="4" w:color="BDC3C7"/>
              <w:bottom w:val="single" w:sz="4" w:color="BDC3C7"/>
              <w:left w:val="single" w:sz="4" w:color="BDC3C7"/>
              <w:right w:val="single" w:sz="4" w:color="BDC3C7"/>
            </w:tcBorders>
          </w:tcPr>
          <w:p>
            <w:r>
              <w:t>23</w:t>
            </w:r>
          </w:p>
        </w:tc>
        <w:tc>
          <w:tcPr>
            <w:tcW w:type="dxa" w:w="1399"/>
            <w:tcBorders>
              <w:top w:val="single" w:sz="4" w:color="BDC3C7"/>
              <w:bottom w:val="single" w:sz="4" w:color="BDC3C7"/>
              <w:left w:val="single" w:sz="4" w:color="BDC3C7"/>
              <w:right w:val="single" w:sz="4" w:color="BDC3C7"/>
            </w:tcBorders>
          </w:tcPr>
          <w:p>
            <w:r>
              <w:t>+62.2%</w:t>
            </w:r>
          </w:p>
        </w:tc>
        <w:tc>
          <w:tcPr>
            <w:tcW w:type="dxa" w:w="1399"/>
            <w:tcBorders>
              <w:top w:val="single" w:sz="4" w:color="BDC3C7"/>
              <w:bottom w:val="single" w:sz="4" w:color="BDC3C7"/>
              <w:left w:val="single" w:sz="4" w:color="BDC3C7"/>
              <w:right w:val="single" w:sz="4" w:color="BDC3C7"/>
            </w:tcBorders>
          </w:tcPr>
          <w:p>
            <w:r>
              <w:t>↑ +0.076</w:t>
            </w:r>
          </w:p>
        </w:tc>
        <w:tc>
          <w:tcPr>
            <w:tcW w:type="dxa" w:w="1399"/>
            <w:tcBorders>
              <w:top w:val="single" w:sz="4" w:color="BDC3C7"/>
              <w:bottom w:val="single" w:sz="4" w:color="BDC3C7"/>
              <w:left w:val="single" w:sz="4" w:color="BDC3C7"/>
              <w:right w:val="single" w:sz="4" w:color="BDC3C7"/>
            </w:tcBorders>
          </w:tcPr>
          <w:p>
            <w:r>
              <w:t>↑5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$20.71</w:t>
            </w:r>
          </w:p>
        </w:tc>
        <w:tc>
          <w:tcPr>
            <w:tcW w:type="dxa" w:w="1399"/>
            <w:tcBorders>
              <w:top w:val="single" w:sz="4" w:color="BDC3C7"/>
              <w:bottom w:val="single" w:sz="4" w:color="BDC3C7"/>
              <w:left w:val="single" w:sz="4" w:color="BDC3C7"/>
              <w:right w:val="single" w:sz="4" w:color="BDC3C7"/>
            </w:tcBorders>
          </w:tcPr>
          <w:p>
            <w:r>
              <w:t>$15.72 – $23.75</w:t>
            </w:r>
          </w:p>
        </w:tc>
        <w:tc>
          <w:tcPr>
            <w:tcW w:type="dxa" w:w="1399"/>
            <w:tcBorders>
              <w:top w:val="single" w:sz="4" w:color="BDC3C7"/>
              <w:bottom w:val="single" w:sz="4" w:color="BDC3C7"/>
              <w:left w:val="single" w:sz="4" w:color="BDC3C7"/>
              <w:right w:val="single" w:sz="4" w:color="BDC3C7"/>
            </w:tcBorders>
          </w:tcPr>
          <w:p>
            <w:r>
              <w:t>24</w:t>
            </w:r>
          </w:p>
        </w:tc>
        <w:tc>
          <w:tcPr>
            <w:tcW w:type="dxa" w:w="1399"/>
            <w:tcBorders>
              <w:top w:val="single" w:sz="4" w:color="BDC3C7"/>
              <w:bottom w:val="single" w:sz="4" w:color="BDC3C7"/>
              <w:left w:val="single" w:sz="4" w:color="BDC3C7"/>
              <w:right w:val="single" w:sz="4" w:color="BDC3C7"/>
            </w:tcBorders>
          </w:tcPr>
          <w:p>
            <w:r>
              <w:t>+31.0%</w:t>
            </w:r>
          </w:p>
        </w:tc>
        <w:tc>
          <w:tcPr>
            <w:tcW w:type="dxa" w:w="1399"/>
            <w:tcBorders>
              <w:top w:val="single" w:sz="4" w:color="BDC3C7"/>
              <w:bottom w:val="single" w:sz="4" w:color="BDC3C7"/>
              <w:left w:val="single" w:sz="4" w:color="BDC3C7"/>
              <w:right w:val="single" w:sz="4" w:color="BDC3C7"/>
            </w:tcBorders>
          </w:tcPr>
          <w:p>
            <w:r>
              <w:t>↑ +0.276</w:t>
            </w:r>
          </w:p>
        </w:tc>
        <w:tc>
          <w:tcPr>
            <w:tcW w:type="dxa" w:w="1399"/>
            <w:tcBorders>
              <w:top w:val="single" w:sz="4" w:color="BDC3C7"/>
              <w:bottom w:val="single" w:sz="4" w:color="BDC3C7"/>
              <w:left w:val="single" w:sz="4" w:color="BDC3C7"/>
              <w:right w:val="single" w:sz="4" w:color="BDC3C7"/>
            </w:tcBorders>
          </w:tcPr>
          <w:p>
            <w:r>
              <w:t>↑4 / ↓0</w:t>
            </w:r>
          </w:p>
        </w:tc>
      </w:tr>
    </w:tbl>
    <w:p>
      <w:r>
        <w:t>Revenue consensus: Q $1.78B (+19.6%)  |  Q+1 $1.90B (+50.7%)  |  FY $8.06B (+47.0%)  |  FY+1 $10.43B (+29.5%)</w:t>
      </w:r>
    </w:p>
    <w:p>
      <w:r>
        <w:t>Price targets: Mean $639.36  |  Median $647.00  |  Range $340.00–$860.00  |  Current $473.93 (+34.9% to mean)</w:t>
      </w:r>
    </w:p>
    <w:p>
      <w:r>
        <w:t>Analyst ratings (n=30): Strong Buy 6 · Buy 20 · Hold 4 · Sell 0 · Strong Sell 0  ·  87% bullish</w:t>
      </w:r>
    </w:p>
    <w:p>
      <w:r>
        <w:t>Next earnings: 2026-05-06 (2d out)  ·  EPS $3.64 ($3.53–$3.74)  ·  Rev $1.78B</w:t>
      </w:r>
    </w:p>
    <w:p>
      <w:pPr>
        <w:pStyle w:val="SectionHeading"/>
      </w:pPr>
      <w:r>
        <w:t>1. Research Synthesis</w:t>
      </w:r>
    </w:p>
    <w:p>
      <w:r>
        <w:t>AppLovin delivered exceptional Q4 2025 results with revenue of $1,658M (+66% YoY) and 84% adjusted EBITDA margins, but the forward setup reveals concerning deceleration patterns that consensus appears to be overlooking. The company's Q1 2026 guidance of $1,745-1,775M (midpoint $1,760M) implies only +6.1% sequential growth from Q4 2025's $1,658M base. This sequential pattern breaks sharply from historical norms - in Q1 2025, revenue jumped +55.8% sequentially from Q4 2024's $953M, suggesting the current Q1 guide reflects genuine business deceleration rather than seasonal patterns.</w:t>
      </w:r>
    </w:p>
    <w:p>
      <w:pPr>
        <w:pStyle w:val="ListBullet"/>
      </w:pPr>
      <w:r>
        <w:rPr>
          <w:i/>
        </w:rPr>
        <w:t>→ Research confirms: AppLovin Q4 2025 revenue was $1.66 billion (+66% YoY) with adjusted EBITDA of $1.4 billion at 84% margin, directly confirming the claim's core financial metrics. (tipranks.com)</w:t>
      </w:r>
    </w:p>
    <w:p>
      <w:pPr>
        <w:pStyle w:val="ListBullet"/>
      </w:pPr>
      <w:r>
        <w:rPr>
          <w:i/>
        </w:rPr>
        <w:t>→ Research [CONTRADICTS]: AppLovin's Q1 2026 guidance of $1,745–$1,775B implies 5–7% sequential growth, not 6.1%. The brief's claim of 6.1% falls within the stated range but misrepresents the company's official guidance as a point estimate rather than a range. (investing.com)</w:t>
      </w:r>
    </w:p>
    <w:p>
      <w:r>
        <w:t>The core tension lies in reconciling management's conservative Q1 guide against street expectations for sustained hyper-growth. Consensus models FY2026 revenue of $8,055M, implying +47% growth from FY2025's $5,481M base. However, starting from Q1's guided $1,760M midpoint, AppLovin would need to average $2,098M per quarter for the remaining three quarters to hit consensus - a 19% sequential ramp each quarter that appears disconnected from the company's own near-term visibility. In the Q4 2025 call, CEO Adam Foroughi acknowledged the e-commerce business was 'still in its infancy' and noted they were 'not going to see anything that's going to impact our overall numbers for a while' from the self-service platform launch.</w:t>
      </w:r>
    </w:p>
    <w:p>
      <w:pPr>
        <w:pStyle w:val="PullQuote"/>
      </w:pPr>
      <w:r>
        <w:t>Counter: the analyst claims Q1 2026 guidance implies significant deceleration supporting bear thesis — but The guidance actually shows sequential acceleration (17-19% vs 18% prior quarter), fundamentally undermining the entire edge hypothesis that growth is decelerating</w:t>
      </w:r>
    </w:p>
    <w:p>
      <w:pPr>
        <w:pStyle w:val="ListBullet"/>
      </w:pPr>
      <w:r>
        <w:rPr>
          <w:i/>
        </w:rPr>
        <w:t>→ Research confirms: CEO Foroughi stated in Q4 2025 earnings call that the e-commerce business model is "really in its infancy" and "We're not going to see anything that's going to impact our overall numbers for a while." Both phrases directly match the verbatim claim. (fool.com)</w:t>
      </w:r>
    </w:p>
    <w:p>
      <w:r>
        <w:t>The e-commerce expansion story, while compelling in concept, faces structural challenges that consensus may be underestimating. Fuzzy Panda's short report alleges that AppLovin's e-commerce performance relies on 'copying Meta's data' through tracking mechanisms that could face regulatory shutdown. While these allegations remain unproven, they highlight a legitimate risk: if AppLovin's e-commerce targeting effectiveness depends on data arbitrage from larger platforms, that advantage becomes vulnerable as Meta, Google, and Apple tighten data sharing policies. Foroughi's Q4 comments about Meta 'not bidding on no ID traffic' but potentially starting to 'bid on no ID traffic in the next couple quarters' suggests this competitive dynamic is already evolving.</w:t>
      </w:r>
    </w:p>
    <w:p>
      <w:pPr>
        <w:pStyle w:val="ListBullet"/>
      </w:pPr>
      <w:r>
        <w:rPr>
          <w:i/>
        </w:rPr>
        <w:t>→ Research: AppLovin's official response to Fuzzy Panda allegations was limited to CEO denials of wrongdoing; company has not provided substantive regulatory response. SEC investigation (October 2025) confirms regulatory risk severity, with SEC's Cyber unit treating this as systemic technology issue rather than routine fraud. (cnbc.com)</w:t>
      </w:r>
    </w:p>
    <w:p>
      <w:r>
        <w:t>Margin sustainability presents another consensus blind spot. AppLovin's 84% adjusted EBITDA margins in Q4 2025 represent an extraordinary achievement, but the company's cost structure shows signs of investment acceleration. R&amp;D expenses of $226.5M in FY2025 (4.1% of revenue) likely need to increase as the company builds out e-commerce capabilities and competes with better-funded rivals. In the Q3 2025 call, management noted they were 'actively testing paid marketing to promote the Axon Ads platform to new customers' - a shift from their historically organic, word-of-mouth growth model that will pressure margins as customer acquisition costs rise.</w:t>
      </w:r>
    </w:p>
    <w:p>
      <w:pPr>
        <w:pStyle w:val="ListBullet"/>
      </w:pPr>
      <w:r>
        <w:rPr>
          <w:i/>
        </w:rPr>
        <w:t>→ Research [CONTRADICTS]: AppLovin cut R&amp;D spending by more than half in H1 2025, with management viewing the platform as largely complete. The claim that R&amp;D needs to increase for e-commerce expansion contradicts actual spending trajectory and management positioning. (wmediaresearch.com)</w:t>
      </w:r>
    </w:p>
    <w:p>
      <w:r>
        <w:t>The competitive landscape is intensifying in ways that consensus models may not fully capture. Meta's increased bidding activity on AppLovin's platform, while generating near-term auction revenue, signals Meta's intent to reduce dependence on third-party mediation platforms. As Foroughi acknowledged in Q4, 'every time we've added more competition in the max auction' historically benefited AppLovin, but this dynamic assumes AppLovin maintains technological superiority. With Meta's vastly superior data assets and Google's search integration, AppLovin's AXON engine faces pressure from platforms with deeper user insights and larger advertising budgets.</w:t>
      </w:r>
    </w:p>
    <w:p>
      <w:r>
        <w:t>Capital allocation behavior provides mixed signals about management's confidence. The company repurchased $2.58B of stock in FY2025 (funded entirely by free cash flow), reducing share count from 346M to 338M. While this demonstrates strong cash generation, the aggressive buyback pace at elevated valuations suggests management may view organic growth investments as offering lower returns than share repurchases - a concerning signal for a company positioned as a high-growth platform play.</w:t>
      </w:r>
    </w:p>
    <w:p>
      <w:r>
        <w:t>The bear case gains credibility from recent insider activity, with director Eduardo Vivas selling $9.5M in shares on March 13, 2026, followed by additional sales of 163,910 shares on March 16 under a Rule 10b5-1 plan. While pre-arranged selling plans provide legal cover, the timing coincides with the stock's significant decline from recent highs, suggesting insiders may be taking profits ahead of potential fundamental deterioration.</w:t>
      </w:r>
    </w:p>
    <w:p>
      <w:pPr>
        <w:pStyle w:val="ListBullet"/>
      </w:pPr>
      <w:r>
        <w:rPr>
          <w:i/>
        </w:rPr>
        <w:t>→ Research [UPDATES]: Search confirms both transactions and dates, but the March 13 sale was 20,910 shares (~$9.59M), not $9.5M as stated. March 16 sale of 163,910 shares is accurate. The $9.5M figure rounds the actual $9,590,789.70 transaction value. (themarketsdaily.com)</w:t>
      </w:r>
    </w:p>
    <w:p>
      <w:pPr>
        <w:pStyle w:val="ListBullet"/>
      </w:pPr>
      <w:r>
        <w:rPr>
          <w:i/>
        </w:rPr>
        <w:t>→ Research: Recent 13F filings show mixed institutional activity: Fifth Third Bancorp raised position 312% in Q4 2025, while Azzad Asset Management reduced stake 78.6% citing profit-taking. Vanguard increased holdings 50.17% (Oct 2025). Evidence supports thesis of selective smart-money repositioning amid valuation concerns. (dailypolitical.com)</w:t>
      </w:r>
    </w:p>
    <w:p>
      <w:r>
        <w:t>Reconciling the GAAP vs non-GAAP picture reveals additional complexity. The structured financials show 87.9% gross margins on $5,481M revenue, but management's adjusted EBITDA margins of 82% suggest meaningful reconciling items between gross profit and EBITDA that aren't fully disclosed. This gap likely reflects stock-based compensation and other adjustments that will grow as the company scales headcount to compete in e-commerce.</w:t>
      </w:r>
    </w:p>
    <w:p>
      <w:r>
        <w:t>The macro environment adds another layer of risk that consensus appears to discount. With consumer sentiment at 53.3 (down 6.5% YoY) and unemployment rising to 4.3%, discretionary advertising budgets face pressure. AppLovin's e-commerce advertisers - predominantly smaller direct-to-consumer brands - are particularly vulnerable to macro downturns as they lack the balance sheet strength of traditional CPG advertisers. The company's billion-dollar e-commerce run rate, while impressive, remains concentrated among a relatively small advertiser base that could contract quickly in a recession.</w:t>
      </w:r>
    </w:p>
    <w:p>
      <w:pPr>
        <w:pStyle w:val="ListBullet"/>
      </w:pPr>
      <w:r>
        <w:rPr>
          <w:i/>
        </w:rPr>
        <w:t>→ Research: Search confirms AppLovin's e-commerce segment is nascent (only ~10% of 2025 revenue) with limited advertiser base (hundreds live, thousands interested). Customer concentration risk exists: top 10 customers &lt;30% overall, but e-commerce segment shows early concentration with enterprise brands (Wayfair, Dr. Squatch) alongside SMBs. Macro sensitivity amplification thesis plausible but not yet empirica (dcfmodeling.com)</w:t>
      </w:r>
    </w:p>
    <w:p>
      <w:r>
        <w:t>Looking ahead, the key falsifier for the bear thesis would be Q1 2026 results significantly exceeding the $1,775M high-end guide, coupled with management raising full-year guidance and demonstrating sustained e-commerce advertiser growth. Conversely, a Q1 print at or below the guide midpoint, combined with cautious commentary about e-commerce scaling challenges, would validate concerns about consensus expectations being too aggressive for a business facing intensifying competition and macro headwinds.</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$3.45</w:t>
            </w:r>
          </w:p>
        </w:tc>
        <w:tc>
          <w:tcPr>
            <w:tcW w:type="dxa" w:w="3264"/>
            <w:tcBorders>
              <w:top w:val="single" w:sz="4" w:color="BDC3C7"/>
              <w:bottom w:val="single" w:sz="4" w:color="BDC3C7"/>
              <w:left w:val="single" w:sz="4" w:color="BDC3C7"/>
              <w:right w:val="single" w:sz="4" w:color="BDC3C7"/>
            </w:tcBorders>
          </w:tcPr>
          <w:p>
            <w:r>
              <w:t>$1,775M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$3.69</w:t>
            </w:r>
          </w:p>
        </w:tc>
        <w:tc>
          <w:tcPr>
            <w:tcW w:type="dxa" w:w="3264"/>
            <w:tcBorders>
              <w:top w:val="single" w:sz="4" w:color="BDC3C7"/>
              <w:bottom w:val="single" w:sz="4" w:color="BDC3C7"/>
              <w:left w:val="single" w:sz="4" w:color="BDC3C7"/>
              <w:right w:val="single" w:sz="4" w:color="BDC3C7"/>
            </w:tcBorders>
          </w:tcPr>
          <w:p>
            <w:r>
              <w:t>$1,897M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$15.81</w:t>
            </w:r>
          </w:p>
        </w:tc>
        <w:tc>
          <w:tcPr>
            <w:tcW w:type="dxa" w:w="3264"/>
            <w:tcBorders>
              <w:top w:val="single" w:sz="4" w:color="BDC3C7"/>
              <w:bottom w:val="single" w:sz="4" w:color="BDC3C7"/>
              <w:left w:val="single" w:sz="4" w:color="BDC3C7"/>
              <w:right w:val="single" w:sz="4" w:color="BDC3C7"/>
            </w:tcBorders>
          </w:tcPr>
          <w:p>
            <w:r>
              <w:t>$8,055M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$20.71</w:t>
            </w:r>
          </w:p>
        </w:tc>
        <w:tc>
          <w:tcPr>
            <w:tcW w:type="dxa" w:w="3264"/>
            <w:tcBorders>
              <w:top w:val="single" w:sz="4" w:color="BDC3C7"/>
              <w:bottom w:val="single" w:sz="4" w:color="BDC3C7"/>
              <w:left w:val="single" w:sz="4" w:color="BDC3C7"/>
              <w:right w:val="single" w:sz="4" w:color="BDC3C7"/>
            </w:tcBorders>
          </w:tcPr>
          <w:p>
            <w:r>
              <w:t>$10,432M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$8.1B</w:t>
            </w:r>
          </w:p>
        </w:tc>
        <w:tc>
          <w:tcPr>
            <w:tcW w:type="dxa" w:w="1632"/>
            <w:tcBorders>
              <w:top w:val="single" w:sz="4" w:color="BDC3C7"/>
              <w:bottom w:val="single" w:sz="4" w:color="BDC3C7"/>
              <w:left w:val="single" w:sz="4" w:color="BDC3C7"/>
              <w:right w:val="single" w:sz="4" w:color="BDC3C7"/>
            </w:tcBorders>
          </w:tcPr>
          <w:p>
            <w:r>
              <w:t>$7.2B</w:t>
            </w:r>
          </w:p>
        </w:tc>
        <w:tc>
          <w:tcPr>
            <w:tcW w:type="dxa" w:w="1632"/>
            <w:tcBorders>
              <w:top w:val="single" w:sz="4" w:color="BDC3C7"/>
              <w:bottom w:val="single" w:sz="4" w:color="BDC3C7"/>
              <w:left w:val="single" w:sz="4" w:color="BDC3C7"/>
              <w:right w:val="single" w:sz="4" w:color="BDC3C7"/>
            </w:tcBorders>
          </w:tcPr>
          <w:p>
            <w:r>
              <w:t>-2.85</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$15.81</w:t>
            </w:r>
          </w:p>
        </w:tc>
        <w:tc>
          <w:tcPr>
            <w:tcW w:type="dxa" w:w="1632"/>
            <w:tcBorders>
              <w:top w:val="single" w:sz="4" w:color="BDC3C7"/>
              <w:bottom w:val="single" w:sz="4" w:color="BDC3C7"/>
              <w:left w:val="single" w:sz="4" w:color="BDC3C7"/>
              <w:right w:val="single" w:sz="4" w:color="BDC3C7"/>
            </w:tcBorders>
          </w:tcPr>
          <w:p>
            <w:r>
              <w:t>$13.50</w:t>
            </w:r>
          </w:p>
        </w:tc>
        <w:tc>
          <w:tcPr>
            <w:tcW w:type="dxa" w:w="1632"/>
            <w:tcBorders>
              <w:top w:val="single" w:sz="4" w:color="BDC3C7"/>
              <w:bottom w:val="single" w:sz="4" w:color="BDC3C7"/>
              <w:left w:val="single" w:sz="4" w:color="BDC3C7"/>
              <w:right w:val="single" w:sz="4" w:color="BDC3C7"/>
            </w:tcBorders>
          </w:tcPr>
          <w:p>
            <w:r>
              <w:t>-2.31</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consensus_fy_revenue</w:t>
      </w:r>
    </w:p>
    <w:p>
      <w:r>
        <w:t>Q1 2026 guidance implies significant deceleration from Q4 2025 growth rates, making consensus +47% FY growth mathematically challenging without unprecedented acceleration in Q2-Q4.</w:t>
      </w:r>
    </w:p>
    <w:p>
      <w:r>
        <w:t>Street anchor: $8.1B (yfinance consensus) → Our view: $7.2B</w:t>
      </w:r>
    </w:p>
    <w:p>
      <w:pPr>
        <w:pStyle w:val="PullQuote"/>
      </w:pPr>
      <w:r>
        <w:t>“In the first quarter of 2026, we anticipate revenue between $1,745 and $1,775”  (press_release)</w:t>
      </w:r>
    </w:p>
    <w:p>
      <w:pPr>
        <w:pStyle w:val="PullQuote"/>
      </w:pPr>
      <w:r>
        <w:t>“we're not going to see anything that's going to impact our overall numbers for a while from the self-service platform”  (transcript)</w:t>
      </w:r>
    </w:p>
    <w:p>
      <w:r>
        <w:t>Why not consensus: Street analysts model FY top-down from Q4 momentum without reconciling to Q1 guide's implied sequential deceleration pattern</w:t>
      </w:r>
    </w:p>
    <w:p>
      <w:pPr>
        <w:pStyle w:val="KillCriteria"/>
      </w:pPr>
      <w:r>
        <w:t>Falsifier: Q1 2026 results significantly exceed $1,775M high-end guide with raised full-year guidance</w:t>
      </w:r>
    </w:p>
    <w:p>
      <w:pPr>
        <w:pStyle w:val="ListBullet2"/>
      </w:pPr>
      <w:r>
        <w:rPr>
          <w:i/>
        </w:rPr>
        <w:t>→ Research [CONTRADICTS]: FY2025 actual revenue was $5.481B (not $5.481M as stated in brief). Analyst consensus for FY2026 revenue is approximately $7.3B–$7.5B based on 21.2% growth forecasts, not $8,055M. The specific $8,055M figure does not appear in search results. (investing.com)</w:t>
      </w:r>
    </w:p>
    <w:p>
      <w:pPr>
        <w:pStyle w:val="SubHeading"/>
      </w:pPr>
      <w:r>
        <w:t>Claim 2 — consensus_fy_eps</w:t>
      </w:r>
    </w:p>
    <w:p>
      <w:r>
        <w:t>Margin pressure from increased competition and customer acquisition costs as company shifts from organic to paid marketing for advertiser acquisition.</w:t>
      </w:r>
    </w:p>
    <w:p>
      <w:r>
        <w:t>Street anchor: $15.81 (yfinance consensus) → Our view: $13.50</w:t>
      </w:r>
    </w:p>
    <w:p>
      <w:pPr>
        <w:pStyle w:val="PullQuote"/>
      </w:pPr>
      <w:r>
        <w:t>“We are actively testing paid marketing to promote the Axon Ads platform to new customers”  (transcript)</w:t>
      </w:r>
    </w:p>
    <w:p>
      <w:pPr>
        <w:pStyle w:val="PullQuote"/>
      </w:pPr>
      <w:r>
        <w:t>“Meta was a launch partner of Max. They are a bidder on anything that has an ID today”  (transcript)</w:t>
      </w:r>
    </w:p>
    <w:p>
      <w:r>
        <w:t>Why not consensus: Analysts focus on current 84% EBITDA margins without modeling the margin impact of shifting to paid customer acquisition and increased competitive pressure</w:t>
      </w:r>
    </w:p>
    <w:p>
      <w:pPr>
        <w:pStyle w:val="KillCriteria"/>
      </w:pPr>
      <w:r>
        <w:t>Falsifier: Q1-Q2 2026 margins sustain above 80% despite increased marketing spend and competition</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+21.36%</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core_platform_growth</w:t>
            </w:r>
          </w:p>
        </w:tc>
        <w:tc>
          <w:tcPr>
            <w:tcW w:type="dxa" w:w="2448"/>
            <w:tcBorders>
              <w:top w:val="single" w:sz="4" w:color="BDC3C7"/>
              <w:bottom w:val="single" w:sz="4" w:color="BDC3C7"/>
              <w:left w:val="single" w:sz="4" w:color="BDC3C7"/>
              <w:right w:val="single" w:sz="4" w:color="BDC3C7"/>
            </w:tcBorders>
          </w:tcPr>
          <w:p>
            <w:r>
              <w:t>+18.00%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In the Q4 2025 call, management noted 'continued technology advancements to our core mobile gaming business' driving growth, with the MAX platform showing 'double-digit growth' in supply. However, Q1 2026 guidance of $1,</w:t>
            </w:r>
          </w:p>
        </w:tc>
      </w:tr>
      <w:tr>
        <w:tc>
          <w:tcPr>
            <w:tcW w:type="dxa" w:w="2448"/>
            <w:tcBorders>
              <w:top w:val="single" w:sz="4" w:color="BDC3C7"/>
              <w:bottom w:val="single" w:sz="4" w:color="BDC3C7"/>
              <w:left w:val="single" w:sz="4" w:color="BDC3C7"/>
              <w:right w:val="single" w:sz="4" w:color="BDC3C7"/>
            </w:tcBorders>
          </w:tcPr>
          <w:p>
            <w:r>
              <w:t xml:space="preserve">    e_commerce_contribution</w:t>
            </w:r>
          </w:p>
        </w:tc>
        <w:tc>
          <w:tcPr>
            <w:tcW w:type="dxa" w:w="2448"/>
            <w:tcBorders>
              <w:top w:val="single" w:sz="4" w:color="BDC3C7"/>
              <w:bottom w:val="single" w:sz="4" w:color="BDC3C7"/>
              <w:left w:val="single" w:sz="4" w:color="BDC3C7"/>
              <w:right w:val="single" w:sz="4" w:color="BDC3C7"/>
            </w:tcBorders>
          </w:tcPr>
          <w:p>
            <w:r>
              <w:t>+3.36%</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Management disclosed a 'billion dollar run rate' for e-commerce in Q4 2025, but cautioned that 'we're not going to see anything that's going to impact our overall numbers for a while' from the self-service platform expan</w:t>
            </w:r>
          </w:p>
        </w:tc>
      </w:tr>
    </w:tbl>
    <w:p>
      <w:pPr>
        <w:pStyle w:val="SubHeading"/>
      </w:pPr>
      <w:r>
        <w:t>Bear revisions:</w:t>
      </w:r>
    </w:p>
    <w:p>
      <w:pPr>
        <w:pStyle w:val="ListBullet"/>
      </w:pPr>
      <w:r>
        <w:t>revenue_growth.core_platform_growth: 25.0 → 18.0 — If competitive pressure from Meta and Google intensifies faster than expected, core platform growth could decelerate more sharply, particularly if larger players reduce reliance on third-party mediation</w:t>
      </w:r>
    </w:p>
    <w:p>
      <w:pPr>
        <w:pStyle w:val="ListBullet"/>
      </w:pPr>
      <w:r>
        <w:t>revenue_growth.e_commerce_contribution: 5.6 → 2.0 — Macro pressure on smaller DTC advertisers could significantly reduce e-commerce contribution, especially if Fuzzy Panda allegations about data practices lead to regulatory restrictions</w:t>
      </w:r>
    </w:p>
    <w:p>
      <w:pPr>
        <w:pStyle w:val="SubHeading"/>
      </w:pPr>
      <w:r>
        <w:t>Comp decomposition check:</w:t>
      </w:r>
    </w:p>
    <w:p>
      <w:pPr>
        <w:pStyle w:val="ListBullet"/>
      </w:pPr>
      <w:r>
        <w:t>Thin brief drivers (1 drivers / 2 components) on schema 'general'. The mechanical model and edge variant back-solve may be unreliable.</w:t>
      </w:r>
    </w:p>
    <w:p>
      <w:pPr>
        <w:pStyle w:val="PullQuote"/>
      </w:pPr>
      <w:r>
        <w:t>Counter: the analyst claims AI-driven AXON platform maintains competitive advantages — but Bear research alleges the AI success story is built on 'copying META's data' - if true, this advantage is both illegal and unsustainable, making it a liability rather than an asset</w:t>
      </w:r>
    </w:p>
    <w:p>
      <w:pPr>
        <w:pStyle w:val="SectionHeading"/>
      </w:pPr>
      <w:r>
        <w:t>3. Consensus Gap &amp; Valuation</w:t>
      </w:r>
    </w:p>
    <w:p>
      <w:r>
        <w:t>Our EPS: $13.50  =  baseline $15.81  +  Σ claim impacts $-2.31 (14.6% below consensus $15.81)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$15.81</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$15.81 → $13.50 (Δ $-2.31)</w:t>
            </w:r>
          </w:p>
        </w:tc>
        <w:tc>
          <w:tcPr>
            <w:tcW w:type="dxa" w:w="2448"/>
            <w:tcBorders>
              <w:top w:val="single" w:sz="4" w:color="BDC3C7"/>
              <w:bottom w:val="single" w:sz="4" w:color="BDC3C7"/>
              <w:left w:val="single" w:sz="4" w:color="BDC3C7"/>
              <w:right w:val="single" w:sz="4" w:color="BDC3C7"/>
            </w:tcBorders>
          </w:tcPr>
          <w:p>
            <w:r>
              <w:t>Direct EPS delta: $-2.31/share</w:t>
            </w:r>
          </w:p>
        </w:tc>
        <w:tc>
          <w:tcPr>
            <w:tcW w:type="dxa" w:w="2448"/>
            <w:tcBorders>
              <w:top w:val="single" w:sz="4" w:color="BDC3C7"/>
              <w:bottom w:val="single" w:sz="4" w:color="BDC3C7"/>
              <w:left w:val="single" w:sz="4" w:color="BDC3C7"/>
              <w:right w:val="single" w:sz="4" w:color="BDC3C7"/>
            </w:tcBorders>
          </w:tcPr>
          <w:p>
            <w:r>
              <w:t>-2.31</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$8.1B → $7.2B (Δ $-855M)</w:t>
            </w:r>
          </w:p>
        </w:tc>
        <w:tc>
          <w:tcPr>
            <w:tcW w:type="dxa" w:w="2448"/>
            <w:tcBorders>
              <w:top w:val="single" w:sz="4" w:color="BDC3C7"/>
              <w:bottom w:val="single" w:sz="4" w:color="BDC3C7"/>
              <w:left w:val="single" w:sz="4" w:color="BDC3C7"/>
              <w:right w:val="single" w:sz="4" w:color="BDC3C7"/>
            </w:tcBorders>
          </w:tcPr>
          <w:p>
            <w:r>
              <w:t xml:space="preserve">(supporting view, not summed: same disagreement as 'consensus_fy_eps' through different metric lens) Revenue Δ $-855M × </w:t>
            </w:r>
          </w:p>
        </w:tc>
        <w:tc>
          <w:tcPr>
            <w:tcW w:type="dxa" w:w="2448"/>
            <w:tcBorders>
              <w:top w:val="single" w:sz="4" w:color="BDC3C7"/>
              <w:bottom w:val="single" w:sz="4" w:color="BDC3C7"/>
              <w:left w:val="single" w:sz="4" w:color="BDC3C7"/>
              <w:right w:val="single" w:sz="4" w:color="BDC3C7"/>
            </w:tcBorders>
          </w:tcPr>
          <w:p>
            <w:r>
              <w:t>+0.00  ⚠ Claude said -2.85</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-2.31</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$13.50</w:t>
            </w:r>
          </w:p>
        </w:tc>
      </w:tr>
    </w:tbl>
    <w:p>
      <w:pPr>
        <w:pStyle w:val="PullQuote"/>
      </w:pPr>
      <w:r>
        <w:t xml:space="preserve">  ⚠ Mechanically-overlapping claim deduplicated: 'consensus_fy_revenue' overlaps with selected 'consensus_fy_eps'; only the more comprehensive claim is summed into our_eps.</w:t>
      </w:r>
    </w:p>
    <w:p>
      <w:r>
        <w:t>Our estimate is $2.31 (14.6%) below consensus $15.81. Primary driver: revenue_growth.e_commerce_contribution (ours +3.4 vs street +25.0, contributing $-2.816 to EPS variant, evidence: weak). Variant appears NOT fully priced in based on available market data. Next catalyst: Next quarterly earnings report (2026-05-06 (2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revenue_growth.e_commerce_contribution</w:t>
            </w:r>
          </w:p>
        </w:tc>
        <w:tc>
          <w:tcPr>
            <w:tcW w:type="dxa" w:w="1958"/>
            <w:tcBorders>
              <w:top w:val="single" w:sz="4" w:color="BDC3C7"/>
              <w:bottom w:val="single" w:sz="4" w:color="BDC3C7"/>
              <w:left w:val="single" w:sz="4" w:color="BDC3C7"/>
              <w:right w:val="single" w:sz="4" w:color="BDC3C7"/>
            </w:tcBorders>
          </w:tcPr>
          <w:p>
            <w:r>
              <w:t>+3.36</w:t>
            </w:r>
          </w:p>
        </w:tc>
        <w:tc>
          <w:tcPr>
            <w:tcW w:type="dxa" w:w="1958"/>
            <w:tcBorders>
              <w:top w:val="single" w:sz="4" w:color="BDC3C7"/>
              <w:bottom w:val="single" w:sz="4" w:color="BDC3C7"/>
              <w:left w:val="single" w:sz="4" w:color="BDC3C7"/>
              <w:right w:val="single" w:sz="4" w:color="BDC3C7"/>
            </w:tcBorders>
          </w:tcPr>
          <w:p>
            <w:r>
              <w:t>+25.02</w:t>
            </w:r>
          </w:p>
        </w:tc>
        <w:tc>
          <w:tcPr>
            <w:tcW w:type="dxa" w:w="1958"/>
            <w:tcBorders>
              <w:top w:val="single" w:sz="4" w:color="BDC3C7"/>
              <w:bottom w:val="single" w:sz="4" w:color="BDC3C7"/>
              <w:left w:val="single" w:sz="4" w:color="BDC3C7"/>
              <w:right w:val="single" w:sz="4" w:color="BDC3C7"/>
            </w:tcBorders>
          </w:tcPr>
          <w:p>
            <w:r>
              <w:t>-2.816</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revenue_growth.core_platform_growth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(-14.6%) exceeds implied move (8.9%)</w:t>
      </w:r>
    </w:p>
    <w:p>
      <w:r>
        <w:t>Edge verdict: POSSIBLE_EDGE (score 0.050).</w:t>
      </w:r>
    </w:p>
    <w:p>
      <w:pPr>
        <w:pStyle w:val="PullQuote"/>
      </w:pPr>
      <w:r>
        <w:t>Counter: the analyst claims Consensus FY2026 revenue growth of +47% appears unsustainable — but With Q1 showing sequential acceleration rather than deceleration, the mathematical foundation for calling 47% unsustainable is flawed - may actually be conservative if current trajectory continues</w:t>
      </w:r>
    </w:p>
    <w:p>
      <w:pPr>
        <w:pStyle w:val="SectionHeading"/>
      </w:pPr>
      <w:r>
        <w:t>4. Catalysts</w:t>
      </w:r>
    </w:p>
    <w:p>
      <w:pPr>
        <w:pStyle w:val="ListBullet"/>
      </w:pPr>
      <w:r>
        <w:t>Next quarterly earnings report (2026-05-06 (2 days)) — resolves revenue + margins + guidance; confirms or challenges</w:t>
      </w:r>
    </w:p>
    <w:p>
      <w:pPr>
        <w:pStyle w:val="ListBullet"/>
      </w:pPr>
      <w:r>
        <w:t>Resolution: E-commerce expansion will drive sustained hyper-growth (Resolves at earnings (2026-05-06)) — resolves revenue_growth; confirms or challenges</w:t>
      </w:r>
    </w:p>
    <w:p>
      <w:pPr>
        <w:pStyle w:val="ListBullet"/>
      </w:pPr>
      <w:r>
        <w:t>Resolution: Competitive moats remain intact against larger players (Resolves at earnings (2026-05-06)) — resolves revenue_growth; confirms or challenges</w:t>
      </w:r>
    </w:p>
    <w:p>
      <w:pPr>
        <w:pStyle w:val="ListBullet"/>
      </w:pPr>
      <w:r>
        <w:t>Resolution: Analyst blind spot (Multi-year thesis -- patience required) — resolves general; confirms or challenges</w:t>
      </w:r>
    </w:p>
    <w:p>
      <w:pPr>
        <w:pStyle w:val="ListBullet"/>
      </w:pPr>
      <w:r>
        <w:t>Specific breakdown of e-commerce vs gaming revenue contribution (Unknown timing) — resolves multiple; resolves uncertainty</w:t>
      </w:r>
    </w:p>
    <w:p>
      <w:pPr>
        <w:pStyle w:val="ListBullet"/>
      </w:pPr>
      <w:r>
        <w:t>Customer churn rates and retention metrics for e-commerce advertisers (Unknown timing) — resolves multiple; resolves uncertainty</w:t>
      </w:r>
    </w:p>
    <w:p>
      <w:pPr>
        <w:pStyle w:val="SectionHeading"/>
      </w:pPr>
      <w:r>
        <w:t>5. Risks, Blind Spots &amp; Kill Criteria</w:t>
      </w:r>
    </w:p>
    <w:p>
      <w:pPr>
        <w:pStyle w:val="SubHeading"/>
      </w:pPr>
      <w:r>
        <w:t>Top risks:</w:t>
      </w:r>
    </w:p>
    <w:p>
      <w:pPr>
        <w:pStyle w:val="ListBullet"/>
      </w:pPr>
      <w:r>
        <w:t>E-commerce expansion will drive sustained hyper-growth — counter: Management explicitly stated 'we're not going to see anything that's going to impact our overall numbers for a while' from self-service platform, and Q1 guide implies deceleration despite e-commerce scaling [serious]</w:t>
      </w:r>
    </w:p>
    <w:p>
      <w:pPr>
        <w:pStyle w:val="ListBullet"/>
      </w:pPr>
      <w:r>
        <w:t>Q1 2026 guidance implies significant deceleration supporting bear case — counter: Q1 2026 guidance of $1,745-1,775M represents 17-19% sequential growth from Q4 2025 $1,658M, which is actually ACCELERATION vs Q4's 18% sequential growth. Filing shows this guidance range. [serious]</w:t>
      </w:r>
    </w:p>
    <w:p>
      <w:pPr>
        <w:pStyle w:val="ListBullet"/>
      </w:pPr>
      <w:r>
        <w:t>E-commerce expansion faces structural headwinds — counter: Bear research from Fuzzy Panda alleges the e-commerce success relies on 'copying META's data' and potential ad fraud, suggesting structural issues may be more fundamental than competitive headwinds - the product itself may be problematic. [serious]</w:t>
      </w:r>
    </w:p>
    <w:p>
      <w:pPr>
        <w:pStyle w:val="SubHeading"/>
      </w:pPr>
      <w:r>
        <w:t>Blind spots (auditor-independent):</w:t>
      </w:r>
    </w:p>
    <w:p>
      <w:pPr>
        <w:pStyle w:val="ListBullet"/>
      </w:pPr>
      <w:r>
        <w:t>Major leadership transition risk with CTO and CLO departing simultaneously in Q2/Q3 2026 during critical growth phase</w:t>
      </w:r>
    </w:p>
    <w:p>
      <w:pPr>
        <w:pStyle w:val="ListBullet"/>
      </w:pPr>
      <w:r>
        <w:t>Regulatory scrutiny risk from bear allegations of child privacy violations and serving inappropriate ads to minors</w:t>
      </w:r>
    </w:p>
    <w:p>
      <w:pPr>
        <w:pStyle w:val="ListBullet"/>
      </w:pPr>
      <w:r>
        <w:t>Potential SEC investigation risk given specific fraud allegations from multiple short sellers</w:t>
      </w:r>
    </w:p>
    <w:p>
      <w:pPr>
        <w:pStyle w:val="KillCriteria"/>
      </w:pPr>
      <w:r>
        <w:t>What would change our mind: Print on revenue_growth.e_commerce_contribution comes in above our +3.4 figure (toward street +25.0) in the next 1-2 prints.</w:t>
      </w:r>
    </w:p>
    <w:p>
      <w:pPr>
        <w:pStyle w:val="SectionHeading"/>
      </w:pPr>
      <w:r>
        <w:t>Appendix</w:t>
      </w:r>
    </w:p>
    <w:p>
      <w:pPr>
        <w:pStyle w:val="SubHeading"/>
      </w:pPr>
      <w:r>
        <w:t>Business context:</w:t>
      </w:r>
    </w:p>
    <w:p>
      <w:r>
        <w:t>AppLovin operates a mobile advertising platform that connects advertisers with mobile game publishers through its MAX mediation platform and AXON bidding engine. The company generates revenue by taking a percentage of advertising transactions, with ~88% gross margins reflecting its asset-light model.</w:t>
      </w:r>
    </w:p>
    <w:p>
      <w:pPr>
        <w:pStyle w:val="SubHeading"/>
      </w:pPr>
      <w:r>
        <w:t>Evidence gaps (research TODO):</w:t>
      </w:r>
    </w:p>
    <w:p>
      <w:pPr>
        <w:pStyle w:val="ListBullet"/>
      </w:pPr>
      <w:r>
        <w:t>Specific breakdown of e-commerce vs gaming revenue contribution</w:t>
      </w:r>
    </w:p>
    <w:p>
      <w:pPr>
        <w:pStyle w:val="ListBullet"/>
      </w:pPr>
      <w:r>
        <w:t>Customer churn rates and retention metrics for e-commerce advertisers</w:t>
      </w:r>
    </w:p>
    <w:p>
      <w:pPr>
        <w:pStyle w:val="ListBullet"/>
      </w:pPr>
      <w:r>
        <w:t>Detailed competitive response timeline from Meta and Google</w:t>
      </w:r>
    </w:p>
    <w:p>
      <w:pPr>
        <w:pStyle w:val="ListBullet"/>
      </w:pPr>
      <w:r>
        <w:t>Quantified impact of regulatory changes on data collection practices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