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APP — APP</w:t>
      </w:r>
    </w:p>
    <w:p>
      <w:pPr>
        <w:pStyle w:val="SmallMeta"/>
      </w:pPr>
      <w:r>
        <w:t>As of 2026-05-05  |  Schema: general  |  Data: polygon+alpha_vantage (FY2025)</w:t>
      </w:r>
    </w:p>
    <w:p>
      <w:pPr>
        <w:pStyle w:val="SubHeading"/>
      </w:pPr>
      <w:r>
        <w:rPr>
          <w:color w:val="8C1D40"/>
        </w:rPr>
        <w:t>Current: $478.11</w:t>
      </w:r>
    </w:p>
    <w:p>
      <w:pPr>
        <w:pStyle w:val="SubHeading"/>
      </w:pPr>
      <w:r>
        <w:t>Summary</w:t>
      </w:r>
    </w:p>
    <w:p>
      <w:pPr>
        <w:pStyle w:val="ListBullet"/>
      </w:pPr>
      <w:r>
        <w:t>Thesis: No clear edge identified -- estimate is close to consensus range.</w:t>
      </w:r>
    </w:p>
    <w:p>
      <w:pPr>
        <w:pStyle w:val="ListBullet"/>
      </w:pPr>
      <w:r>
        <w:t>Next catalyst: Next quarterly earnings report (2026-05-06 (1 days))</w:t>
      </w:r>
    </w:p>
    <w:p>
      <w:pPr>
        <w:pStyle w:val="ListBullet"/>
      </w:pPr>
      <w:r>
        <w:t>Top risk: The analyst assumes 39.1% revenue growth going forward</w:t>
      </w:r>
    </w:p>
    <w:tbl>
      <w:tblPr>
        <w:tblW w:type="auto" w:w="0"/>
        <w:tblLook w:firstColumn="1" w:firstRow="1" w:lastColumn="0" w:lastRow="0" w:noHBand="0" w:noVBand="1" w:val="04A0"/>
      </w:tblPr>
      <w:tblGrid>
        <w:gridCol w:w="9792"/>
      </w:tblGrid>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Thin brief drivers (1 drivers / 1 components) on schema 'general'. The mechanical model and edge variant back-solve may be unreliable.</w:t>
            </w:r>
          </w:p>
        </w:tc>
      </w:tr>
    </w:tbl>
    <w:p>
      <w:pPr>
        <w:pStyle w:val="SectionHeading"/>
      </w:pPr>
      <w:r>
        <w:t>Street Consensus</w:t>
      </w:r>
    </w:p>
    <w:tbl>
      <w:tblPr>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E8EDF5"/>
            <w:tcBorders>
              <w:top w:val="single" w:sz="4" w:color="BDC3C7"/>
              <w:bottom w:val="single" w:sz="4" w:color="BDC3C7"/>
              <w:left w:val="single" w:sz="4" w:color="BDC3C7"/>
              <w:right w:val="single" w:sz="4" w:color="BDC3C7"/>
            </w:tcBorders>
          </w:tcPr>
          <w:p>
            <w:r>
              <w:rPr>
                <w:b/>
              </w:rPr>
              <w:t>Period</w:t>
            </w:r>
          </w:p>
        </w:tc>
        <w:tc>
          <w:tcPr>
            <w:tcW w:type="dxa" w:w="1399"/>
            <w:shd w:val="clear" w:color="auto" w:fill="E8EDF5"/>
            <w:tcBorders>
              <w:top w:val="single" w:sz="4" w:color="BDC3C7"/>
              <w:bottom w:val="single" w:sz="4" w:color="BDC3C7"/>
              <w:left w:val="single" w:sz="4" w:color="BDC3C7"/>
              <w:right w:val="single" w:sz="4" w:color="BDC3C7"/>
            </w:tcBorders>
          </w:tcPr>
          <w:p>
            <w:r>
              <w:rPr>
                <w:b/>
              </w:rPr>
              <w:t>EPS (mean)</w:t>
            </w:r>
          </w:p>
        </w:tc>
        <w:tc>
          <w:tcPr>
            <w:tcW w:type="dxa" w:w="1399"/>
            <w:shd w:val="clear" w:color="auto" w:fill="E8EDF5"/>
            <w:tcBorders>
              <w:top w:val="single" w:sz="4" w:color="BDC3C7"/>
              <w:bottom w:val="single" w:sz="4" w:color="BDC3C7"/>
              <w:left w:val="single" w:sz="4" w:color="BDC3C7"/>
              <w:right w:val="single" w:sz="4" w:color="BDC3C7"/>
            </w:tcBorders>
          </w:tcPr>
          <w:p>
            <w:r>
              <w:rPr>
                <w:b/>
              </w:rPr>
              <w:t>Range</w:t>
            </w:r>
          </w:p>
        </w:tc>
        <w:tc>
          <w:tcPr>
            <w:tcW w:type="dxa" w:w="1399"/>
            <w:shd w:val="clear" w:color="auto" w:fill="E8EDF5"/>
            <w:tcBorders>
              <w:top w:val="single" w:sz="4" w:color="BDC3C7"/>
              <w:bottom w:val="single" w:sz="4" w:color="BDC3C7"/>
              <w:left w:val="single" w:sz="4" w:color="BDC3C7"/>
              <w:right w:val="single" w:sz="4" w:color="BDC3C7"/>
            </w:tcBorders>
          </w:tcPr>
          <w:p>
            <w:r>
              <w:rPr>
                <w:b/>
              </w:rPr>
              <w:t>n</w:t>
            </w:r>
          </w:p>
        </w:tc>
        <w:tc>
          <w:tcPr>
            <w:tcW w:type="dxa" w:w="1399"/>
            <w:shd w:val="clear" w:color="auto" w:fill="E8EDF5"/>
            <w:tcBorders>
              <w:top w:val="single" w:sz="4" w:color="BDC3C7"/>
              <w:bottom w:val="single" w:sz="4" w:color="BDC3C7"/>
              <w:left w:val="single" w:sz="4" w:color="BDC3C7"/>
              <w:right w:val="single" w:sz="4" w:color="BDC3C7"/>
            </w:tcBorders>
          </w:tcPr>
          <w:p>
            <w:r>
              <w:rPr>
                <w:b/>
              </w:rPr>
              <w:t>YoY</w:t>
            </w:r>
          </w:p>
        </w:tc>
        <w:tc>
          <w:tcPr>
            <w:tcW w:type="dxa" w:w="1399"/>
            <w:shd w:val="clear" w:color="auto" w:fill="E8EDF5"/>
            <w:tcBorders>
              <w:top w:val="single" w:sz="4" w:color="BDC3C7"/>
              <w:bottom w:val="single" w:sz="4" w:color="BDC3C7"/>
              <w:left w:val="single" w:sz="4" w:color="BDC3C7"/>
              <w:right w:val="single" w:sz="4" w:color="BDC3C7"/>
            </w:tcBorders>
          </w:tcPr>
          <w:p>
            <w:r>
              <w:rPr>
                <w:b/>
              </w:rPr>
              <w:t>30d Δ</w:t>
            </w:r>
          </w:p>
        </w:tc>
        <w:tc>
          <w:tcPr>
            <w:tcW w:type="dxa" w:w="1399"/>
            <w:shd w:val="clear" w:color="auto" w:fill="E8EDF5"/>
            <w:tcBorders>
              <w:top w:val="single" w:sz="4" w:color="BDC3C7"/>
              <w:bottom w:val="single" w:sz="4" w:color="BDC3C7"/>
              <w:left w:val="single" w:sz="4" w:color="BDC3C7"/>
              <w:right w:val="single" w:sz="4" w:color="BDC3C7"/>
            </w:tcBorders>
          </w:tcPr>
          <w:p>
            <w:r>
              <w:rPr>
                <w:b/>
              </w:rPr>
              <w:t>Revs 30d</w:t>
            </w:r>
          </w:p>
        </w:tc>
      </w:tr>
      <w:tr>
        <w:tc>
          <w:tcPr>
            <w:tcW w:type="dxa" w:w="1399"/>
            <w:tcBorders>
              <w:top w:val="single" w:sz="4" w:color="BDC3C7"/>
              <w:bottom w:val="single" w:sz="4" w:color="BDC3C7"/>
              <w:left w:val="single" w:sz="4" w:color="BDC3C7"/>
              <w:right w:val="single" w:sz="4" w:color="BDC3C7"/>
            </w:tcBorders>
          </w:tcPr>
          <w:p>
            <w:r>
              <w:t>Current Quarter</w:t>
            </w:r>
          </w:p>
        </w:tc>
        <w:tc>
          <w:tcPr>
            <w:tcW w:type="dxa" w:w="1399"/>
            <w:tcBorders>
              <w:top w:val="single" w:sz="4" w:color="BDC3C7"/>
              <w:bottom w:val="single" w:sz="4" w:color="BDC3C7"/>
              <w:left w:val="single" w:sz="4" w:color="BDC3C7"/>
              <w:right w:val="single" w:sz="4" w:color="BDC3C7"/>
            </w:tcBorders>
          </w:tcPr>
          <w:p>
            <w:r>
              <w:t>$3.46</w:t>
            </w:r>
          </w:p>
        </w:tc>
        <w:tc>
          <w:tcPr>
            <w:tcW w:type="dxa" w:w="1399"/>
            <w:tcBorders>
              <w:top w:val="single" w:sz="4" w:color="BDC3C7"/>
              <w:bottom w:val="single" w:sz="4" w:color="BDC3C7"/>
              <w:left w:val="single" w:sz="4" w:color="BDC3C7"/>
              <w:right w:val="single" w:sz="4" w:color="BDC3C7"/>
            </w:tcBorders>
          </w:tcPr>
          <w:p>
            <w:r>
              <w:t>$3.15 – $3.76</w:t>
            </w:r>
          </w:p>
        </w:tc>
        <w:tc>
          <w:tcPr>
            <w:tcW w:type="dxa" w:w="1399"/>
            <w:tcBorders>
              <w:top w:val="single" w:sz="4" w:color="BDC3C7"/>
              <w:bottom w:val="single" w:sz="4" w:color="BDC3C7"/>
              <w:left w:val="single" w:sz="4" w:color="BDC3C7"/>
              <w:right w:val="single" w:sz="4" w:color="BDC3C7"/>
            </w:tcBorders>
          </w:tcPr>
          <w:p>
            <w:r>
              <w:t>17</w:t>
            </w:r>
          </w:p>
        </w:tc>
        <w:tc>
          <w:tcPr>
            <w:tcW w:type="dxa" w:w="1399"/>
            <w:tcBorders>
              <w:top w:val="single" w:sz="4" w:color="BDC3C7"/>
              <w:bottom w:val="single" w:sz="4" w:color="BDC3C7"/>
              <w:left w:val="single" w:sz="4" w:color="BDC3C7"/>
              <w:right w:val="single" w:sz="4" w:color="BDC3C7"/>
            </w:tcBorders>
          </w:tcPr>
          <w:p>
            <w:r>
              <w:t>+107.0%</w:t>
            </w:r>
          </w:p>
        </w:tc>
        <w:tc>
          <w:tcPr>
            <w:tcW w:type="dxa" w:w="1399"/>
            <w:tcBorders>
              <w:top w:val="single" w:sz="4" w:color="BDC3C7"/>
              <w:bottom w:val="single" w:sz="4" w:color="BDC3C7"/>
              <w:left w:val="single" w:sz="4" w:color="BDC3C7"/>
              <w:right w:val="single" w:sz="4" w:color="BDC3C7"/>
            </w:tcBorders>
          </w:tcPr>
          <w:p>
            <w:r>
              <w:t>↑ +0.010</w:t>
            </w:r>
          </w:p>
        </w:tc>
        <w:tc>
          <w:tcPr>
            <w:tcW w:type="dxa" w:w="1399"/>
            <w:tcBorders>
              <w:top w:val="single" w:sz="4" w:color="BDC3C7"/>
              <w:bottom w:val="single" w:sz="4" w:color="BDC3C7"/>
              <w:left w:val="single" w:sz="4" w:color="BDC3C7"/>
              <w:right w:val="single" w:sz="4" w:color="BDC3C7"/>
            </w:tcBorders>
          </w:tcPr>
          <w:p>
            <w:r>
              <w:t>↑4 / ↓0</w:t>
            </w:r>
          </w:p>
        </w:tc>
      </w:tr>
      <w:tr>
        <w:tc>
          <w:tcPr>
            <w:tcW w:type="dxa" w:w="1399"/>
            <w:tcBorders>
              <w:top w:val="single" w:sz="4" w:color="BDC3C7"/>
              <w:bottom w:val="single" w:sz="4" w:color="BDC3C7"/>
              <w:left w:val="single" w:sz="4" w:color="BDC3C7"/>
              <w:right w:val="single" w:sz="4" w:color="BDC3C7"/>
            </w:tcBorders>
          </w:tcPr>
          <w:p>
            <w:r>
              <w:t>Next Quarter</w:t>
            </w:r>
          </w:p>
        </w:tc>
        <w:tc>
          <w:tcPr>
            <w:tcW w:type="dxa" w:w="1399"/>
            <w:tcBorders>
              <w:top w:val="single" w:sz="4" w:color="BDC3C7"/>
              <w:bottom w:val="single" w:sz="4" w:color="BDC3C7"/>
              <w:left w:val="single" w:sz="4" w:color="BDC3C7"/>
              <w:right w:val="single" w:sz="4" w:color="BDC3C7"/>
            </w:tcBorders>
          </w:tcPr>
          <w:p>
            <w:r>
              <w:t>$3.70</w:t>
            </w:r>
          </w:p>
        </w:tc>
        <w:tc>
          <w:tcPr>
            <w:tcW w:type="dxa" w:w="1399"/>
            <w:tcBorders>
              <w:top w:val="single" w:sz="4" w:color="BDC3C7"/>
              <w:bottom w:val="single" w:sz="4" w:color="BDC3C7"/>
              <w:left w:val="single" w:sz="4" w:color="BDC3C7"/>
              <w:right w:val="single" w:sz="4" w:color="BDC3C7"/>
            </w:tcBorders>
          </w:tcPr>
          <w:p>
            <w:r>
              <w:t>$3.35 – $4.05</w:t>
            </w:r>
          </w:p>
        </w:tc>
        <w:tc>
          <w:tcPr>
            <w:tcW w:type="dxa" w:w="1399"/>
            <w:tcBorders>
              <w:top w:val="single" w:sz="4" w:color="BDC3C7"/>
              <w:bottom w:val="single" w:sz="4" w:color="BDC3C7"/>
              <w:left w:val="single" w:sz="4" w:color="BDC3C7"/>
              <w:right w:val="single" w:sz="4" w:color="BDC3C7"/>
            </w:tcBorders>
          </w:tcPr>
          <w:p>
            <w:r>
              <w:t>17</w:t>
            </w:r>
          </w:p>
        </w:tc>
        <w:tc>
          <w:tcPr>
            <w:tcW w:type="dxa" w:w="1399"/>
            <w:tcBorders>
              <w:top w:val="single" w:sz="4" w:color="BDC3C7"/>
              <w:bottom w:val="single" w:sz="4" w:color="BDC3C7"/>
              <w:left w:val="single" w:sz="4" w:color="BDC3C7"/>
              <w:right w:val="single" w:sz="4" w:color="BDC3C7"/>
            </w:tcBorders>
          </w:tcPr>
          <w:p>
            <w:r>
              <w:t>+54.8%</w:t>
            </w:r>
          </w:p>
        </w:tc>
        <w:tc>
          <w:tcPr>
            <w:tcW w:type="dxa" w:w="1399"/>
            <w:tcBorders>
              <w:top w:val="single" w:sz="4" w:color="BDC3C7"/>
              <w:bottom w:val="single" w:sz="4" w:color="BDC3C7"/>
              <w:left w:val="single" w:sz="4" w:color="BDC3C7"/>
              <w:right w:val="single" w:sz="4" w:color="BDC3C7"/>
            </w:tcBorders>
          </w:tcPr>
          <w:p>
            <w:r>
              <w:t>↑ +0.031</w:t>
            </w:r>
          </w:p>
        </w:tc>
        <w:tc>
          <w:tcPr>
            <w:tcW w:type="dxa" w:w="1399"/>
            <w:tcBorders>
              <w:top w:val="single" w:sz="4" w:color="BDC3C7"/>
              <w:bottom w:val="single" w:sz="4" w:color="BDC3C7"/>
              <w:left w:val="single" w:sz="4" w:color="BDC3C7"/>
              <w:right w:val="single" w:sz="4" w:color="BDC3C7"/>
            </w:tcBorders>
          </w:tcPr>
          <w:p>
            <w:r>
              <w:t>↑4 / ↓0</w:t>
            </w:r>
          </w:p>
        </w:tc>
      </w:tr>
      <w:tr>
        <w:tc>
          <w:tcPr>
            <w:tcW w:type="dxa" w:w="1399"/>
            <w:tcBorders>
              <w:top w:val="single" w:sz="4" w:color="BDC3C7"/>
              <w:bottom w:val="single" w:sz="4" w:color="BDC3C7"/>
              <w:left w:val="single" w:sz="4" w:color="BDC3C7"/>
              <w:right w:val="single" w:sz="4" w:color="BDC3C7"/>
            </w:tcBorders>
          </w:tcPr>
          <w:p>
            <w:r>
              <w:t>Current Fiscal Year</w:t>
            </w:r>
          </w:p>
        </w:tc>
        <w:tc>
          <w:tcPr>
            <w:tcW w:type="dxa" w:w="1399"/>
            <w:tcBorders>
              <w:top w:val="single" w:sz="4" w:color="BDC3C7"/>
              <w:bottom w:val="single" w:sz="4" w:color="BDC3C7"/>
              <w:left w:val="single" w:sz="4" w:color="BDC3C7"/>
              <w:right w:val="single" w:sz="4" w:color="BDC3C7"/>
            </w:tcBorders>
          </w:tcPr>
          <w:p>
            <w:r>
              <w:t>$15.82</w:t>
            </w:r>
          </w:p>
        </w:tc>
        <w:tc>
          <w:tcPr>
            <w:tcW w:type="dxa" w:w="1399"/>
            <w:tcBorders>
              <w:top w:val="single" w:sz="4" w:color="BDC3C7"/>
              <w:bottom w:val="single" w:sz="4" w:color="BDC3C7"/>
              <w:left w:val="single" w:sz="4" w:color="BDC3C7"/>
              <w:right w:val="single" w:sz="4" w:color="BDC3C7"/>
            </w:tcBorders>
          </w:tcPr>
          <w:p>
            <w:r>
              <w:t>$14.32 – $17.62</w:t>
            </w:r>
          </w:p>
        </w:tc>
        <w:tc>
          <w:tcPr>
            <w:tcW w:type="dxa" w:w="1399"/>
            <w:tcBorders>
              <w:top w:val="single" w:sz="4" w:color="BDC3C7"/>
              <w:bottom w:val="single" w:sz="4" w:color="BDC3C7"/>
              <w:left w:val="single" w:sz="4" w:color="BDC3C7"/>
              <w:right w:val="single" w:sz="4" w:color="BDC3C7"/>
            </w:tcBorders>
          </w:tcPr>
          <w:p>
            <w:r>
              <w:t>23</w:t>
            </w:r>
          </w:p>
        </w:tc>
        <w:tc>
          <w:tcPr>
            <w:tcW w:type="dxa" w:w="1399"/>
            <w:tcBorders>
              <w:top w:val="single" w:sz="4" w:color="BDC3C7"/>
              <w:bottom w:val="single" w:sz="4" w:color="BDC3C7"/>
              <w:left w:val="single" w:sz="4" w:color="BDC3C7"/>
              <w:right w:val="single" w:sz="4" w:color="BDC3C7"/>
            </w:tcBorders>
          </w:tcPr>
          <w:p>
            <w:r>
              <w:t>+62.3%</w:t>
            </w:r>
          </w:p>
        </w:tc>
        <w:tc>
          <w:tcPr>
            <w:tcW w:type="dxa" w:w="1399"/>
            <w:tcBorders>
              <w:top w:val="single" w:sz="4" w:color="BDC3C7"/>
              <w:bottom w:val="single" w:sz="4" w:color="BDC3C7"/>
              <w:left w:val="single" w:sz="4" w:color="BDC3C7"/>
              <w:right w:val="single" w:sz="4" w:color="BDC3C7"/>
            </w:tcBorders>
          </w:tcPr>
          <w:p>
            <w:r>
              <w:t>↑ +0.084</w:t>
            </w:r>
          </w:p>
        </w:tc>
        <w:tc>
          <w:tcPr>
            <w:tcW w:type="dxa" w:w="1399"/>
            <w:tcBorders>
              <w:top w:val="single" w:sz="4" w:color="BDC3C7"/>
              <w:bottom w:val="single" w:sz="4" w:color="BDC3C7"/>
              <w:left w:val="single" w:sz="4" w:color="BDC3C7"/>
              <w:right w:val="single" w:sz="4" w:color="BDC3C7"/>
            </w:tcBorders>
          </w:tcPr>
          <w:p>
            <w:r>
              <w:t>↑5 / ↓0</w:t>
            </w:r>
          </w:p>
        </w:tc>
      </w:tr>
      <w:tr>
        <w:tc>
          <w:tcPr>
            <w:tcW w:type="dxa" w:w="1399"/>
            <w:tcBorders>
              <w:top w:val="single" w:sz="4" w:color="BDC3C7"/>
              <w:bottom w:val="single" w:sz="4" w:color="BDC3C7"/>
              <w:left w:val="single" w:sz="4" w:color="BDC3C7"/>
              <w:right w:val="single" w:sz="4" w:color="BDC3C7"/>
            </w:tcBorders>
          </w:tcPr>
          <w:p>
            <w:r>
              <w:t>Next Fiscal Year</w:t>
            </w:r>
          </w:p>
        </w:tc>
        <w:tc>
          <w:tcPr>
            <w:tcW w:type="dxa" w:w="1399"/>
            <w:tcBorders>
              <w:top w:val="single" w:sz="4" w:color="BDC3C7"/>
              <w:bottom w:val="single" w:sz="4" w:color="BDC3C7"/>
              <w:left w:val="single" w:sz="4" w:color="BDC3C7"/>
              <w:right w:val="single" w:sz="4" w:color="BDC3C7"/>
            </w:tcBorders>
          </w:tcPr>
          <w:p>
            <w:r>
              <w:t>$20.67</w:t>
            </w:r>
          </w:p>
        </w:tc>
        <w:tc>
          <w:tcPr>
            <w:tcW w:type="dxa" w:w="1399"/>
            <w:tcBorders>
              <w:top w:val="single" w:sz="4" w:color="BDC3C7"/>
              <w:bottom w:val="single" w:sz="4" w:color="BDC3C7"/>
              <w:left w:val="single" w:sz="4" w:color="BDC3C7"/>
              <w:right w:val="single" w:sz="4" w:color="BDC3C7"/>
            </w:tcBorders>
          </w:tcPr>
          <w:p>
            <w:r>
              <w:t>$15.72 – $23.35</w:t>
            </w:r>
          </w:p>
        </w:tc>
        <w:tc>
          <w:tcPr>
            <w:tcW w:type="dxa" w:w="1399"/>
            <w:tcBorders>
              <w:top w:val="single" w:sz="4" w:color="BDC3C7"/>
              <w:bottom w:val="single" w:sz="4" w:color="BDC3C7"/>
              <w:left w:val="single" w:sz="4" w:color="BDC3C7"/>
              <w:right w:val="single" w:sz="4" w:color="BDC3C7"/>
            </w:tcBorders>
          </w:tcPr>
          <w:p>
            <w:r>
              <w:t>24</w:t>
            </w:r>
          </w:p>
        </w:tc>
        <w:tc>
          <w:tcPr>
            <w:tcW w:type="dxa" w:w="1399"/>
            <w:tcBorders>
              <w:top w:val="single" w:sz="4" w:color="BDC3C7"/>
              <w:bottom w:val="single" w:sz="4" w:color="BDC3C7"/>
              <w:left w:val="single" w:sz="4" w:color="BDC3C7"/>
              <w:right w:val="single" w:sz="4" w:color="BDC3C7"/>
            </w:tcBorders>
          </w:tcPr>
          <w:p>
            <w:r>
              <w:t>+30.7%</w:t>
            </w:r>
          </w:p>
        </w:tc>
        <w:tc>
          <w:tcPr>
            <w:tcW w:type="dxa" w:w="1399"/>
            <w:tcBorders>
              <w:top w:val="single" w:sz="4" w:color="BDC3C7"/>
              <w:bottom w:val="single" w:sz="4" w:color="BDC3C7"/>
              <w:left w:val="single" w:sz="4" w:color="BDC3C7"/>
              <w:right w:val="single" w:sz="4" w:color="BDC3C7"/>
            </w:tcBorders>
          </w:tcPr>
          <w:p>
            <w:r>
              <w:t>↑ +0.234</w:t>
            </w:r>
          </w:p>
        </w:tc>
        <w:tc>
          <w:tcPr>
            <w:tcW w:type="dxa" w:w="1399"/>
            <w:tcBorders>
              <w:top w:val="single" w:sz="4" w:color="BDC3C7"/>
              <w:bottom w:val="single" w:sz="4" w:color="BDC3C7"/>
              <w:left w:val="single" w:sz="4" w:color="BDC3C7"/>
              <w:right w:val="single" w:sz="4" w:color="BDC3C7"/>
            </w:tcBorders>
          </w:tcPr>
          <w:p>
            <w:r>
              <w:t>↑4 / ↓0</w:t>
            </w:r>
          </w:p>
        </w:tc>
      </w:tr>
    </w:tbl>
    <w:p>
      <w:r>
        <w:t>Revenue consensus: Q $1.78B (+19.6%)  |  Q+1 $1.90B (+50.8%)  |  FY $8.05B (+46.9%)  |  FY+1 $10.42B (+29.5%)</w:t>
      </w:r>
    </w:p>
    <w:p>
      <w:r>
        <w:t>Price targets: Mean $638.50  |  Median $647.00  |  Range $340.00–$860.00  |  Current $478.11 (+33.5% to mean)</w:t>
      </w:r>
    </w:p>
    <w:p>
      <w:r>
        <w:t>Analyst ratings (n=30): Strong Buy 6 · Buy 20 · Hold 4 · Sell 0 · Strong Sell 0  ·  87% bullish</w:t>
      </w:r>
    </w:p>
    <w:p>
      <w:r>
        <w:t>Next earnings: 2026-05-06 (1d out)  ·  EPS $3.64 ($3.53–$3.74)  ·  Rev $1.78B</w:t>
      </w:r>
    </w:p>
    <w:p>
      <w:pPr>
        <w:pStyle w:val="SectionHeading"/>
      </w:pPr>
      <w:r>
        <w:t>1. Research Synthesis</w:t>
      </w:r>
    </w:p>
    <w:p>
      <w:r>
        <w:t>AppLovin delivered exceptional FY2025 results with $5.48 billion in revenue (up 70% YoY) and $3.33 billion in net income, demonstrating the power of its AI-driven advertising platform. The company's Axon 2.0 machine learning system continues to drive remarkable operating leverage, with adjusted EBITDA margins expanding to 82% for the full year. However, the sequential trajectory analysis reveals important nuances that merit careful examination.</w:t>
      </w:r>
    </w:p>
    <w:p>
      <w:pPr>
        <w:pStyle w:val="ListBullet"/>
      </w:pPr>
      <w:r>
        <w:rPr>
          <w:i/>
        </w:rPr>
        <w:t>→ Research confirms: Official SEC filing confirms FY2025 revenue of $5.481 billion (70% YoY growth) and net income of $3.334 billion. Claim figures ($5.48B revenue, $3.33B net income) match reported results within rounding. (applovin.com)</w:t>
      </w:r>
    </w:p>
    <w:p>
      <w:pPr>
        <w:pStyle w:val="ListBullet"/>
      </w:pPr>
      <w:r>
        <w:rPr>
          <w:i/>
        </w:rPr>
        <w:t>→ Research: Search confirms AXON 2.0 is core to AppLovin's competitive moat, but reveals material sustainability risks: competitors (Unity, Meta, Google) are actively developing countermeasures; CloudX startup threatens 'walled garden' moat; web adoption remains 'painfully slow' per BofA; regulatory/privacy changes pose ongoing threats. Moat is widening but not invincible. (klover.ai)</w:t>
      </w:r>
    </w:p>
    <w:p>
      <w:r>
        <w:t>Looking at the Q1 2026 guidance of $1.745-1.775 billion revenue, this represents a sequential decline of approximately 5-7% from Q4 2025's $1.658 billion. To properly contextualize this, we note that Q4 2024 is not in our 12-quarter historicals window, so a same-period prior-year sequential comparison is unavailable. The Q1 2025 revenue of $1.484 billion shows strong +40.3% YoY growth, but no sequential data is available in our historicals as it appears to be the first quarter in this reporting series. The current Q1 2026 guide suggests a more normalized seasonal pattern, with CEO Adam Foroughi noting in the Q4 2025 call that 'Q1 gets the benefit of a whole bunch of holiday days at the beginning of the quarter' but Q2 'actually doesn't have almost anything as only the tail end gets into summer.' This seasonal dynamic appears consistent with management's historical commentary about mobile gaming engagement patterns.</w:t>
      </w:r>
    </w:p>
    <w:p>
      <w:pPr>
        <w:pStyle w:val="PullQuote"/>
      </w:pPr>
      <w:r>
        <w:t>Counter: the analyst claims Analyst admits 'No clear edge identified -- estimate is close to consensus range' — but Without an informational edge, the analyst is essentially betting on consensus being wrong about a widely-followed, heavily-analyzed stock. The 70% growth rate is already well-known, and if guidance shows deceleration, consensus may already be pricing in the slowdown while the analyst is not.</w:t>
      </w:r>
    </w:p>
    <w:p>
      <w:pPr>
        <w:pStyle w:val="ListBullet"/>
      </w:pPr>
      <w:r>
        <w:rPr>
          <w:i/>
        </w:rPr>
        <w:t>→ Research [CONTRADICTS]: Q4 2025 revenue was $1.66 billion, not $1.658 billion as claimed. The sequential decline calculation is therefore incorrect: Q1 2026 guidance midpoint of $1.76B represents ~5.4% growth, not 5-7% decline from Q4. (tipranks.com)</w:t>
      </w:r>
    </w:p>
    <w:p>
      <w:r>
        <w:t>The e-commerce expansion remains a critical growth driver, though management continues to resist breaking out specific contribution metrics. In the Q4 2025 call, Foroughi stated they're 'not going to break out e-commerce because we think of our platform as a unified platform,' arguing that separate reporting would provide 'misleading information.' However, he did confirm the business achieved a 'billion-dollar run rate' with over 600 advertisers in the pilot phase. The October 2025 launch of the self-service platform on a referral basis appears to be gaining traction, with management noting 'spend from these self-service advertisers grow around roughly 50% week over week' in the Q3 2025 call, though cautioning it was 'too soon to be significant.'</w:t>
      </w:r>
    </w:p>
    <w:p>
      <w:pPr>
        <w:pStyle w:val="ListBullet"/>
      </w:pPr>
      <w:r>
        <w:rPr>
          <w:i/>
        </w:rPr>
        <w:t>→ Research confirms: AppLovin announced in December 2024 that it achieved 600 e-commerce brands and a $1 billion ad spend run rate. Multiple sources confirm both the 600 advertiser count and billion-dollar run rate milestone during the pilot phase. (investing.com)</w:t>
      </w:r>
    </w:p>
    <w:p>
      <w:r>
        <w:t>Margin sustainability deserves particular scrutiny given the company's extraordinary profitability metrics. The 87.9% gross margin in FY2025 compares to cost of revenue of just $665.1 million on $5.48 billion in revenue - a remarkably asset-light model. However, this raises questions about competitive moats as Meta and other large platforms increase their bidding activity. Foroughi addressed this directly in the Q4 2025 call, explaining that 'every impression is not worth the same thing' and that when competitors 'take some of those impressions that we value low where we might not have made any money... now we get a 5% amount that we can tax the bidder in our ecosystem.' This suggests the company views increased competition as potentially accretive rather than margin-dilutive, though this thesis remains untested at scale.</w:t>
      </w:r>
    </w:p>
    <w:p>
      <w:pPr>
        <w:pStyle w:val="ListBullet"/>
      </w:pPr>
      <w:r>
        <w:rPr>
          <w:i/>
        </w:rPr>
        <w:t>→ Research: Search confirms competitive bidding dynamics from Meta and Google directly pressure AppLovin margins. AppLovin's EBITDA margins hit 81% in Q2 2025 despite intensified competition; selective M&amp;A and AXON scaling are margin-protection strategies. Meta and TikTok captured creative-led UA budgets post-ATT, while Google/Meta data advantages remain structural threats to margin sustainability. (emarketer.com)</w:t>
      </w:r>
    </w:p>
    <w:p>
      <w:r>
        <w:t>The bear case research from Fuzzy Panda and Culper Research raises specific allegations about ad fraud and data practices that warrant consideration. Fuzzy Panda alleges three mechanisms: direct downloads without consent, inappropriate ad serving to minors, and e-commerce performance built on copying Meta's data. While these allegations remain unsubstantiated by regulatory action, the third point about data dependency is most thesis-relevant - if true, e-commerce CPMs could prove unsustainable when Meta closes potential data leaks. The probability of material impact from these allegations appears low but non-zero, particularly given the heightened regulatory scrutiny around ad tech practices that management acknowledged.</w:t>
      </w:r>
    </w:p>
    <w:p>
      <w:pPr>
        <w:pStyle w:val="ListBullet"/>
      </w:pPr>
      <w:r>
        <w:rPr>
          <w:i/>
        </w:rPr>
        <w:t>→ Research: Fraud allegations from Fuzzy Panda and Culper Research (Feb 2025) triggered SEC investigation into data-collection practices (Oct 2025), multiple class-action lawsuits, and shareholder losses exceeding $13.7B. Regulatory action confirmed beyond initial allegations. (natlawreview.com)</w:t>
      </w:r>
    </w:p>
    <w:p>
      <w:r>
        <w:t>Capital allocation patterns signal strong management confidence in the business model. The company repurchased $2.58 billion of stock in FY2025 (funded entirely by free cash flow of $3.95 billion), reducing weighted average diluted shares from 346 million to approximately 340 million. With shares trading significantly below recent highs, these buybacks at an average price well above current levels suggest management views the stock as undervalued while maintaining confidence in cash generation sustainability.</w:t>
      </w:r>
    </w:p>
    <w:p>
      <w:pPr>
        <w:pStyle w:val="ListBullet"/>
      </w:pPr>
      <w:r>
        <w:rPr>
          <w:i/>
        </w:rPr>
        <w:t>→ Research confirms: AppLovin's official FY2025 earnings report confirms $2.58 billion in stock repurchases and $3.95 billion in free cash flow, with buybacks entirely funded by FCF. (applovin.com)</w:t>
      </w:r>
    </w:p>
    <w:p>
      <w:r>
        <w:t>Insider activity presents a mixed but not alarming picture. Director Eduardo Vivas sold $181.6 million across multiple transactions, CEO Adam Foroughi sold $96 million, and CTO Vasily Shikin sold $88.7 million (86.4% of his stake). While the absolute dollar amounts are substantial, these appear to be diversification-driven rather than thesis-changing, particularly given the stock's significant appreciation over the past two years. The sales were executed under pre-arranged 10b5-1 plans, suggesting planned liquidity rather than opportunistic exits.</w:t>
      </w:r>
    </w:p>
    <w:p>
      <w:pPr>
        <w:pStyle w:val="ListBullet"/>
      </w:pPr>
      <w:r>
        <w:rPr>
          <w:i/>
        </w:rPr>
        <w:t>→ Research [CONTRADICTS]: Search results show CEO Foroughi sold ~$18.7M in March 2026 (not $96M), and CTO Shikin's recent sales total ~$2.79M-$3.19M in March 2026. Cumulative 2024-2026 sales by Shikin exceed $88.7M, but the specific claim of a single $88.7M sale with 86.4% stake percentage is not verified in available filings. (stocktitan.net)</w:t>
      </w:r>
    </w:p>
    <w:p>
      <w:r>
        <w:t>Looking ahead to the consensus estimates, the street projects FY2026 revenue of $8.049 billion (up 46.9% YoY) and EPS of $15.82 (up 62.3% YoY). These estimates appear reasonable given the Q1 2026 guidance midpoint of $1.76 billion, which would require approximately 13-14% sequential growth in each of the remaining three quarters to achieve the full-year consensus - a deceleration from recent patterns but consistent with the law of large numbers as the company scales. The key risk to consensus appears to be execution on the e-commerce self-service platform rollout and whether the AI model improvements can sustain their historical pace of enhancement.</w:t>
      </w:r>
    </w:p>
    <w:p>
      <w:pPr>
        <w:pStyle w:val="ListBullet"/>
      </w:pPr>
      <w:r>
        <w:rPr>
          <w:i/>
        </w:rPr>
        <w:t>→ Research confirms: Consensus estimates confirm FY2026 revenue near $8.049B (up ~47% YoY) and EPS of $15.81 (up ~61% YoY), closely matching the brief's stated figures of $8.049B (+46.9%) and $15.82 (+62.3%). (wallstreetzen.com)</w:t>
      </w:r>
    </w:p>
    <w:p>
      <w:r>
        <w:t>The macro environment presents both tailwinds and headwinds. Consumer sentiment at 53.3 (down 6.5% YoY) and rising unemployment at 4.3% could pressure discretionary app spending, though the company's focus on performance advertising rather than brand advertising may provide some insulation. Real disposable personal income growth of 5.6% YoY suggests consumer spending capacity remains intact, supporting the advertising ecosystem broadly.</w:t>
      </w:r>
    </w:p>
    <w:p>
      <w:r>
        <w:t>Overall, AppLovin appears to be executing well on its strategic priorities with the AI-driven platform showing continued improvement and the e-commerce expansion gaining early traction. While the valuation reflects high expectations, the company's track record of consistent beats (with positive EPS revisions across all forward periods) and exceptional cash generation provide reasonable support for current consensus estimates. The primary risks center on competitive pressure from larger platforms and execution on the e-commerce scaling, but neither appears likely to derail the growth trajectory in the near term.</w:t>
      </w:r>
    </w:p>
    <w:p>
      <w:pPr>
        <w:pStyle w:val="SubHeading"/>
      </w:pPr>
      <w:r>
        <w:t>Published anchors (reference):</w:t>
      </w:r>
    </w:p>
    <w:tbl>
      <w:tblPr>
        <w:tblW w:type="auto" w:w="0"/>
        <w:tblLook w:firstColumn="1" w:firstRow="1" w:lastColumn="0" w:lastRow="0" w:noHBand="0" w:noVBand="1" w:val="04A0"/>
      </w:tblPr>
      <w:tblGrid>
        <w:gridCol w:w="3264"/>
        <w:gridCol w:w="3264"/>
        <w:gridCol w:w="3264"/>
      </w:tblGrid>
      <w:tr>
        <w:tc>
          <w:tcPr>
            <w:tcW w:type="dxa" w:w="3264"/>
            <w:shd w:val="clear" w:color="auto" w:fill="E8EDF5"/>
            <w:tcBorders>
              <w:top w:val="single" w:sz="4" w:color="BDC3C7"/>
              <w:bottom w:val="single" w:sz="4" w:color="BDC3C7"/>
              <w:left w:val="single" w:sz="4" w:color="BDC3C7"/>
              <w:right w:val="single" w:sz="4" w:color="BDC3C7"/>
            </w:tcBorders>
          </w:tcPr>
          <w:p>
            <w:r>
              <w:rPr>
                <w:b/>
              </w:rPr>
              <w:t>Period</w:t>
            </w:r>
          </w:p>
        </w:tc>
        <w:tc>
          <w:tcPr>
            <w:tcW w:type="dxa" w:w="3264"/>
            <w:shd w:val="clear" w:color="auto" w:fill="E8EDF5"/>
            <w:tcBorders>
              <w:top w:val="single" w:sz="4" w:color="BDC3C7"/>
              <w:bottom w:val="single" w:sz="4" w:color="BDC3C7"/>
              <w:left w:val="single" w:sz="4" w:color="BDC3C7"/>
              <w:right w:val="single" w:sz="4" w:color="BDC3C7"/>
            </w:tcBorders>
          </w:tcPr>
          <w:p>
            <w:r>
              <w:rPr>
                <w:b/>
              </w:rPr>
              <w:t>EPS</w:t>
            </w:r>
          </w:p>
        </w:tc>
        <w:tc>
          <w:tcPr>
            <w:tcW w:type="dxa" w:w="3264"/>
            <w:shd w:val="clear" w:color="auto" w:fill="E8EDF5"/>
            <w:tcBorders>
              <w:top w:val="single" w:sz="4" w:color="BDC3C7"/>
              <w:bottom w:val="single" w:sz="4" w:color="BDC3C7"/>
              <w:left w:val="single" w:sz="4" w:color="BDC3C7"/>
              <w:right w:val="single" w:sz="4" w:color="BDC3C7"/>
            </w:tcBorders>
          </w:tcPr>
          <w:p>
            <w:r>
              <w:rPr>
                <w:b/>
              </w:rPr>
              <w:t>Revenue</w:t>
            </w:r>
          </w:p>
        </w:tc>
      </w:tr>
      <w:tr>
        <w:tc>
          <w:tcPr>
            <w:tcW w:type="dxa" w:w="3264"/>
            <w:tcBorders>
              <w:top w:val="single" w:sz="4" w:color="BDC3C7"/>
              <w:bottom w:val="single" w:sz="4" w:color="BDC3C7"/>
              <w:left w:val="single" w:sz="4" w:color="BDC3C7"/>
              <w:right w:val="single" w:sz="4" w:color="BDC3C7"/>
            </w:tcBorders>
          </w:tcPr>
          <w:p>
            <w:r>
              <w:t>Current Q</w:t>
            </w:r>
          </w:p>
        </w:tc>
        <w:tc>
          <w:tcPr>
            <w:tcW w:type="dxa" w:w="3264"/>
            <w:tcBorders>
              <w:top w:val="single" w:sz="4" w:color="BDC3C7"/>
              <w:bottom w:val="single" w:sz="4" w:color="BDC3C7"/>
              <w:left w:val="single" w:sz="4" w:color="BDC3C7"/>
              <w:right w:val="single" w:sz="4" w:color="BDC3C7"/>
            </w:tcBorders>
          </w:tcPr>
          <w:p>
            <w:r>
              <w:t>$3.46</w:t>
            </w:r>
          </w:p>
        </w:tc>
        <w:tc>
          <w:tcPr>
            <w:tcW w:type="dxa" w:w="3264"/>
            <w:tcBorders>
              <w:top w:val="single" w:sz="4" w:color="BDC3C7"/>
              <w:bottom w:val="single" w:sz="4" w:color="BDC3C7"/>
              <w:left w:val="single" w:sz="4" w:color="BDC3C7"/>
              <w:right w:val="single" w:sz="4" w:color="BDC3C7"/>
            </w:tcBorders>
          </w:tcPr>
          <w:p>
            <w:r>
              <w:t>$1,775M</w:t>
            </w:r>
          </w:p>
        </w:tc>
      </w:tr>
      <w:tr>
        <w:tc>
          <w:tcPr>
            <w:tcW w:type="dxa" w:w="3264"/>
            <w:tcBorders>
              <w:top w:val="single" w:sz="4" w:color="BDC3C7"/>
              <w:bottom w:val="single" w:sz="4" w:color="BDC3C7"/>
              <w:left w:val="single" w:sz="4" w:color="BDC3C7"/>
              <w:right w:val="single" w:sz="4" w:color="BDC3C7"/>
            </w:tcBorders>
          </w:tcPr>
          <w:p>
            <w:r>
              <w:t>Next Q</w:t>
            </w:r>
          </w:p>
        </w:tc>
        <w:tc>
          <w:tcPr>
            <w:tcW w:type="dxa" w:w="3264"/>
            <w:tcBorders>
              <w:top w:val="single" w:sz="4" w:color="BDC3C7"/>
              <w:bottom w:val="single" w:sz="4" w:color="BDC3C7"/>
              <w:left w:val="single" w:sz="4" w:color="BDC3C7"/>
              <w:right w:val="single" w:sz="4" w:color="BDC3C7"/>
            </w:tcBorders>
          </w:tcPr>
          <w:p>
            <w:r>
              <w:t>$3.70</w:t>
            </w:r>
          </w:p>
        </w:tc>
        <w:tc>
          <w:tcPr>
            <w:tcW w:type="dxa" w:w="3264"/>
            <w:tcBorders>
              <w:top w:val="single" w:sz="4" w:color="BDC3C7"/>
              <w:bottom w:val="single" w:sz="4" w:color="BDC3C7"/>
              <w:left w:val="single" w:sz="4" w:color="BDC3C7"/>
              <w:right w:val="single" w:sz="4" w:color="BDC3C7"/>
            </w:tcBorders>
          </w:tcPr>
          <w:p>
            <w:r>
              <w:t>$1,898M</w:t>
            </w:r>
          </w:p>
        </w:tc>
      </w:tr>
      <w:tr>
        <w:tc>
          <w:tcPr>
            <w:tcW w:type="dxa" w:w="3264"/>
            <w:tcBorders>
              <w:top w:val="single" w:sz="4" w:color="BDC3C7"/>
              <w:bottom w:val="single" w:sz="4" w:color="BDC3C7"/>
              <w:left w:val="single" w:sz="4" w:color="BDC3C7"/>
              <w:right w:val="single" w:sz="4" w:color="BDC3C7"/>
            </w:tcBorders>
          </w:tcPr>
          <w:p>
            <w:r>
              <w:t>Current FY</w:t>
            </w:r>
          </w:p>
        </w:tc>
        <w:tc>
          <w:tcPr>
            <w:tcW w:type="dxa" w:w="3264"/>
            <w:tcBorders>
              <w:top w:val="single" w:sz="4" w:color="BDC3C7"/>
              <w:bottom w:val="single" w:sz="4" w:color="BDC3C7"/>
              <w:left w:val="single" w:sz="4" w:color="BDC3C7"/>
              <w:right w:val="single" w:sz="4" w:color="BDC3C7"/>
            </w:tcBorders>
          </w:tcPr>
          <w:p>
            <w:r>
              <w:t>$15.82</w:t>
            </w:r>
          </w:p>
        </w:tc>
        <w:tc>
          <w:tcPr>
            <w:tcW w:type="dxa" w:w="3264"/>
            <w:tcBorders>
              <w:top w:val="single" w:sz="4" w:color="BDC3C7"/>
              <w:bottom w:val="single" w:sz="4" w:color="BDC3C7"/>
              <w:left w:val="single" w:sz="4" w:color="BDC3C7"/>
              <w:right w:val="single" w:sz="4" w:color="BDC3C7"/>
            </w:tcBorders>
          </w:tcPr>
          <w:p>
            <w:r>
              <w:t>$8,049M</w:t>
            </w:r>
          </w:p>
        </w:tc>
      </w:tr>
      <w:tr>
        <w:tc>
          <w:tcPr>
            <w:tcW w:type="dxa" w:w="3264"/>
            <w:tcBorders>
              <w:top w:val="single" w:sz="4" w:color="BDC3C7"/>
              <w:bottom w:val="single" w:sz="4" w:color="BDC3C7"/>
              <w:left w:val="single" w:sz="4" w:color="BDC3C7"/>
              <w:right w:val="single" w:sz="4" w:color="BDC3C7"/>
            </w:tcBorders>
          </w:tcPr>
          <w:p>
            <w:r>
              <w:t>Next FY</w:t>
            </w:r>
          </w:p>
        </w:tc>
        <w:tc>
          <w:tcPr>
            <w:tcW w:type="dxa" w:w="3264"/>
            <w:tcBorders>
              <w:top w:val="single" w:sz="4" w:color="BDC3C7"/>
              <w:bottom w:val="single" w:sz="4" w:color="BDC3C7"/>
              <w:left w:val="single" w:sz="4" w:color="BDC3C7"/>
              <w:right w:val="single" w:sz="4" w:color="BDC3C7"/>
            </w:tcBorders>
          </w:tcPr>
          <w:p>
            <w:r>
              <w:t>$20.67</w:t>
            </w:r>
          </w:p>
        </w:tc>
        <w:tc>
          <w:tcPr>
            <w:tcW w:type="dxa" w:w="3264"/>
            <w:tcBorders>
              <w:top w:val="single" w:sz="4" w:color="BDC3C7"/>
              <w:bottom w:val="single" w:sz="4" w:color="BDC3C7"/>
              <w:left w:val="single" w:sz="4" w:color="BDC3C7"/>
              <w:right w:val="single" w:sz="4" w:color="BDC3C7"/>
            </w:tcBorders>
          </w:tcPr>
          <w:p>
            <w:r>
              <w:t>$10,420M</w:t>
            </w:r>
          </w:p>
        </w:tc>
      </w:tr>
    </w:tbl>
    <w:p>
      <w:pPr>
        <w:pStyle w:val="SectionHeading"/>
      </w:pPr>
      <w:r>
        <w:t>2. Drivers</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2448"/>
            <w:shd w:val="clear" w:color="auto" w:fill="E8EDF5"/>
            <w:tcBorders>
              <w:top w:val="single" w:sz="4" w:color="BDC3C7"/>
              <w:bottom w:val="single" w:sz="4" w:color="BDC3C7"/>
              <w:left w:val="single" w:sz="4" w:color="BDC3C7"/>
              <w:right w:val="single" w:sz="4" w:color="BDC3C7"/>
            </w:tcBorders>
          </w:tcPr>
          <w:p>
            <w:r>
              <w:rPr>
                <w:b/>
              </w:rPr>
              <w:t>Value</w:t>
            </w:r>
          </w:p>
        </w:tc>
        <w:tc>
          <w:tcPr>
            <w:tcW w:type="dxa" w:w="2448"/>
            <w:shd w:val="clear" w:color="auto" w:fill="E8EDF5"/>
            <w:tcBorders>
              <w:top w:val="single" w:sz="4" w:color="BDC3C7"/>
              <w:bottom w:val="single" w:sz="4" w:color="BDC3C7"/>
              <w:left w:val="single" w:sz="4" w:color="BDC3C7"/>
              <w:right w:val="single" w:sz="4" w:color="BDC3C7"/>
            </w:tcBorders>
          </w:tcPr>
          <w:p>
            <w:r>
              <w:rPr>
                <w:b/>
              </w:rPr>
              <w:t>Conf.</w:t>
            </w:r>
          </w:p>
        </w:tc>
        <w:tc>
          <w:tcPr>
            <w:tcW w:type="dxa" w:w="244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2448"/>
            <w:tcBorders>
              <w:top w:val="single" w:sz="4" w:color="BDC3C7"/>
              <w:bottom w:val="single" w:sz="4" w:color="BDC3C7"/>
              <w:left w:val="single" w:sz="4" w:color="BDC3C7"/>
              <w:right w:val="single" w:sz="4" w:color="BDC3C7"/>
            </w:tcBorders>
          </w:tcPr>
          <w:p>
            <w:r>
              <w:rPr>
                <w:b/>
              </w:rPr>
              <w:t>revenue_growth</w:t>
            </w:r>
          </w:p>
        </w:tc>
        <w:tc>
          <w:tcPr>
            <w:tcW w:type="dxa" w:w="2448"/>
            <w:tcBorders>
              <w:top w:val="single" w:sz="4" w:color="BDC3C7"/>
              <w:bottom w:val="single" w:sz="4" w:color="BDC3C7"/>
              <w:left w:val="single" w:sz="4" w:color="BDC3C7"/>
              <w:right w:val="single" w:sz="4" w:color="BDC3C7"/>
            </w:tcBorders>
          </w:tcPr>
          <w:p>
            <w:r>
              <w:rPr>
                <w:b/>
              </w:rPr>
              <w:t>+26.00%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total_revenue_growth</w:t>
            </w:r>
          </w:p>
        </w:tc>
        <w:tc>
          <w:tcPr>
            <w:tcW w:type="dxa" w:w="2448"/>
            <w:tcBorders>
              <w:top w:val="single" w:sz="4" w:color="BDC3C7"/>
              <w:bottom w:val="single" w:sz="4" w:color="BDC3C7"/>
              <w:left w:val="single" w:sz="4" w:color="BDC3C7"/>
              <w:right w:val="single" w:sz="4" w:color="BDC3C7"/>
            </w:tcBorders>
          </w:tcPr>
          <w:p>
            <w:r>
              <w:t>+26.00%</w:t>
            </w:r>
          </w:p>
        </w:tc>
        <w:tc>
          <w:tcPr>
            <w:tcW w:type="dxa" w:w="2448"/>
            <w:tcBorders>
              <w:top w:val="single" w:sz="4" w:color="BDC3C7"/>
              <w:bottom w:val="single" w:sz="4" w:color="BDC3C7"/>
              <w:left w:val="single" w:sz="4" w:color="BDC3C7"/>
              <w:right w:val="single" w:sz="4" w:color="BDC3C7"/>
            </w:tcBorders>
          </w:tcPr>
          <w:p>
            <w:r>
              <w:t>0.60</w:t>
            </w:r>
          </w:p>
        </w:tc>
        <w:tc>
          <w:tcPr>
            <w:tcW w:type="dxa" w:w="2448"/>
            <w:tcBorders>
              <w:top w:val="single" w:sz="4" w:color="BDC3C7"/>
              <w:bottom w:val="single" w:sz="4" w:color="BDC3C7"/>
              <w:left w:val="single" w:sz="4" w:color="BDC3C7"/>
              <w:right w:val="single" w:sz="4" w:color="BDC3C7"/>
            </w:tcBorders>
          </w:tcPr>
          <w:p>
            <w:r>
              <w:t>Based on Q1 2026 guidance midpoint of $1.76B and management's historical execution, modeling ~45% FY2026 growth appears reasonable. In the Q4 2025 call, CEO Foroughi noted continued 'technology advancements to our core m</w:t>
            </w:r>
          </w:p>
        </w:tc>
      </w:tr>
    </w:tbl>
    <w:p>
      <w:pPr>
        <w:pStyle w:val="SubHeading"/>
      </w:pPr>
      <w:r>
        <w:t>Bear revisions:</w:t>
      </w:r>
    </w:p>
    <w:p>
      <w:pPr>
        <w:pStyle w:val="ListBullet"/>
      </w:pPr>
      <w:r>
        <w:t>revenue_growth.total_revenue_growth: 39.1 → 35.0 — If competitive pressure from Meta and Google intensifies or e-commerce scaling disappoints, growth could decelerate more rapidly than expected. The bear research allegations, while unproven, could also create regulatory headwinds.</w:t>
      </w:r>
    </w:p>
    <w:p>
      <w:pPr>
        <w:pStyle w:val="SubHeading"/>
      </w:pPr>
      <w:r>
        <w:t>Comp decomposition check:</w:t>
      </w:r>
    </w:p>
    <w:p>
      <w:pPr>
        <w:pStyle w:val="ListBullet"/>
      </w:pPr>
      <w:r>
        <w:t>Thin brief drivers (1 drivers / 1 components) on schema 'general'. The mechanical model and edge variant back-solve may be unreliable.</w:t>
      </w:r>
    </w:p>
    <w:p>
      <w:pPr>
        <w:pStyle w:val="PullQuote"/>
      </w:pPr>
      <w:r>
        <w:t>Counter: the analyst claims E-commerce expansion cited as key growth driver to offset mobile gaming maturation — but No evidence of meaningful e-commerce business found in filing. The revenue breakdown and business description remain focused on mobile advertising. This appears to be a phantom driver that doesn't exist in the actual business model.</w:t>
      </w:r>
    </w:p>
    <w:p>
      <w:pPr>
        <w:pStyle w:val="SectionHeading"/>
      </w:pPr>
      <w:r>
        <w:t>3. Consensus Gap &amp; Valuation</w:t>
      </w:r>
    </w:p>
    <w:p>
      <w:r>
        <w:t>Our EPS: $15.82  =  baseline $15.82  +  Σ claim impacts $+0.00 (0.0% below consensus $15.82)</w:t>
      </w:r>
    </w:p>
    <w:p>
      <w:pPr>
        <w:pStyle w:val="SubHeading"/>
      </w:pPr>
      <w:r>
        <w:t>EPS Bridge (consensus baseline + flow-through):</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Line</w:t>
            </w:r>
          </w:p>
        </w:tc>
        <w:tc>
          <w:tcPr>
            <w:tcW w:type="dxa" w:w="2448"/>
            <w:shd w:val="clear" w:color="auto" w:fill="E8EDF5"/>
            <w:tcBorders>
              <w:top w:val="single" w:sz="4" w:color="BDC3C7"/>
              <w:bottom w:val="single" w:sz="4" w:color="BDC3C7"/>
              <w:left w:val="single" w:sz="4" w:color="BDC3C7"/>
              <w:right w:val="single" w:sz="4" w:color="BDC3C7"/>
            </w:tcBorders>
          </w:tcPr>
          <w:p>
            <w:r>
              <w:rPr>
                <w:b/>
              </w:rPr>
              <w:t>Anchor / Δ</w:t>
            </w:r>
          </w:p>
        </w:tc>
        <w:tc>
          <w:tcPr>
            <w:tcW w:type="dxa" w:w="2448"/>
            <w:shd w:val="clear" w:color="auto" w:fill="E8EDF5"/>
            <w:tcBorders>
              <w:top w:val="single" w:sz="4" w:color="BDC3C7"/>
              <w:bottom w:val="single" w:sz="4" w:color="BDC3C7"/>
              <w:left w:val="single" w:sz="4" w:color="BDC3C7"/>
              <w:right w:val="single" w:sz="4" w:color="BDC3C7"/>
            </w:tcBorders>
          </w:tcPr>
          <w:p>
            <w:r>
              <w:rPr>
                <w:b/>
              </w:rPr>
              <w:t>Flow-through</w:t>
            </w:r>
          </w:p>
        </w:tc>
        <w:tc>
          <w:tcPr>
            <w:tcW w:type="dxa" w:w="2448"/>
            <w:shd w:val="clear" w:color="auto" w:fill="E8EDF5"/>
            <w:tcBorders>
              <w:top w:val="single" w:sz="4" w:color="BDC3C7"/>
              <w:bottom w:val="single" w:sz="4" w:color="BDC3C7"/>
              <w:left w:val="single" w:sz="4" w:color="BDC3C7"/>
              <w:right w:val="single" w:sz="4" w:color="BDC3C7"/>
            </w:tcBorders>
          </w:tcPr>
          <w:p>
            <w:r>
              <w:rPr>
                <w:b/>
              </w:rPr>
              <w:t>EPS impact</w:t>
            </w:r>
          </w:p>
        </w:tc>
      </w:tr>
      <w:tr>
        <w:tc>
          <w:tcPr>
            <w:tcW w:type="dxa" w:w="2448"/>
            <w:tcBorders>
              <w:top w:val="single" w:sz="4" w:color="BDC3C7"/>
              <w:bottom w:val="single" w:sz="4" w:color="BDC3C7"/>
              <w:left w:val="single" w:sz="4" w:color="BDC3C7"/>
              <w:right w:val="single" w:sz="4" w:color="BDC3C7"/>
            </w:tcBorders>
          </w:tcPr>
          <w:p>
            <w:r>
              <w:rPr>
                <w:b/>
              </w:rPr>
              <w:t>Baseline</w:t>
            </w:r>
          </w:p>
        </w:tc>
        <w:tc>
          <w:tcPr>
            <w:tcW w:type="dxa" w:w="2448"/>
            <w:tcBorders>
              <w:top w:val="single" w:sz="4" w:color="BDC3C7"/>
              <w:bottom w:val="single" w:sz="4" w:color="BDC3C7"/>
              <w:left w:val="single" w:sz="4" w:color="BDC3C7"/>
              <w:right w:val="single" w:sz="4" w:color="BDC3C7"/>
            </w:tcBorders>
          </w:tcPr>
          <w:p>
            <w:r>
              <w:rPr>
                <w:b/>
              </w:rPr>
              <w:t>Revenue: FY consensus revenue; EPS: FY consensus EPS</w:t>
            </w:r>
          </w:p>
        </w:tc>
        <w:tc>
          <w:tcPr>
            <w:tcW w:type="dxa" w:w="2448"/>
            <w:tcBorders>
              <w:top w:val="single" w:sz="4" w:color="BDC3C7"/>
              <w:bottom w:val="single" w:sz="4" w:color="BDC3C7"/>
              <w:left w:val="single" w:sz="4" w:color="BDC3C7"/>
              <w:right w:val="single" w:sz="4" w:color="BDC3C7"/>
            </w:tcBorders>
          </w:tcPr>
          <w:p>
            <w:r>
              <w:rPr>
                <w:b/>
              </w:rPr>
              <w:t>—</w:t>
            </w:r>
          </w:p>
        </w:tc>
        <w:tc>
          <w:tcPr>
            <w:tcW w:type="dxa" w:w="2448"/>
            <w:tcBorders>
              <w:top w:val="single" w:sz="4" w:color="BDC3C7"/>
              <w:bottom w:val="single" w:sz="4" w:color="BDC3C7"/>
              <w:left w:val="single" w:sz="4" w:color="BDC3C7"/>
              <w:right w:val="single" w:sz="4" w:color="BDC3C7"/>
            </w:tcBorders>
          </w:tcPr>
          <w:p>
            <w:r>
              <w:rPr>
                <w:b/>
              </w:rPr>
              <w:t>$15.82</w:t>
            </w:r>
          </w:p>
        </w:tc>
      </w:tr>
      <w:tr>
        <w:tc>
          <w:tcPr>
            <w:tcW w:type="dxa" w:w="2448"/>
            <w:shd w:val="clear" w:color="auto" w:fill="E8EDF5"/>
            <w:tcBorders>
              <w:top w:val="single" w:sz="4" w:color="BDC3C7"/>
              <w:bottom w:val="single" w:sz="4" w:color="BDC3C7"/>
              <w:left w:val="single" w:sz="4" w:color="BDC3C7"/>
              <w:right w:val="single" w:sz="4" w:color="BDC3C7"/>
            </w:tcBorders>
          </w:tcPr>
          <w:p>
            <w:r>
              <w:rPr>
                <w:i/>
              </w:rPr>
              <w:t>Σ Δ</w:t>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t>+0.00</w:t>
            </w:r>
          </w:p>
        </w:tc>
      </w:tr>
      <w:tr>
        <w:tc>
          <w:tcPr>
            <w:tcW w:type="dxa" w:w="2448"/>
            <w:shd w:val="clear" w:color="auto" w:fill="E8EDF5"/>
            <w:tcBorders>
              <w:top w:val="single" w:sz="4" w:color="BDC3C7"/>
              <w:bottom w:val="single" w:sz="4" w:color="BDC3C7"/>
              <w:left w:val="single" w:sz="4" w:color="BDC3C7"/>
              <w:right w:val="single" w:sz="4" w:color="BDC3C7"/>
            </w:tcBorders>
          </w:tcPr>
          <w:p>
            <w:r>
              <w:rPr>
                <w:b/>
              </w:rPr>
              <w:t>Our EPS</w:t>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t>$15.82</w:t>
            </w:r>
          </w:p>
        </w:tc>
      </w:tr>
    </w:tbl>
    <w:p>
      <w:pPr>
        <w:pStyle w:val="PullQuote"/>
      </w:pPr>
      <w:r>
        <w:t xml:space="preserve">  ⚠ No edge claims; our EPS matches baseline (consensus).</w:t>
      </w:r>
    </w:p>
    <w:p>
      <w:r>
        <w:t>Our estimate is $0.00 (0.0%) below consensus $15.82. No single driver within plausible bounds can close the gap to consensus when other drivers are held at our values; the EPS variant is diffuse (top magnitude: revenue_growth.total_revenue_growth). Variant appears within market noise -- may already be priced in. Next catalyst: Next quarterly earnings report (2026-05-06 (1 days)). Time horizon: trade.</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revenue_growth.total_revenue_growth</w:t>
            </w:r>
          </w:p>
        </w:tc>
        <w:tc>
          <w:tcPr>
            <w:tcW w:type="dxa" w:w="1958"/>
            <w:tcBorders>
              <w:top w:val="single" w:sz="4" w:color="BDC3C7"/>
              <w:bottom w:val="single" w:sz="4" w:color="BDC3C7"/>
              <w:left w:val="single" w:sz="4" w:color="BDC3C7"/>
              <w:right w:val="single" w:sz="4" w:color="BDC3C7"/>
            </w:tcBorders>
          </w:tcPr>
          <w:p>
            <w:r>
              <w:t>+26.00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0.55</w:t>
            </w:r>
          </w:p>
        </w:tc>
      </w:tr>
    </w:tbl>
    <w:p>
      <w:pPr>
        <w:pStyle w:val="PullQuote"/>
      </w:pPr>
      <w:r>
        <w:t>Rows marked 'n/a (unreachable)' mean no single value of that driver within plausible bounds would produce consensus EPS when other drivers are held at our values — i.e., the EPS gap can't be attributed to that driver alone. The ΔEPS column is not shown for those rows because the implied-street value would be a search-bound artifact, not a real derivation.</w:t>
      </w:r>
    </w:p>
    <w:p>
      <w:r>
        <w:t>Priced in: likely — Variant (+0.0%) within implied move noise (9.6%)</w:t>
      </w:r>
    </w:p>
    <w:p>
      <w:r>
        <w:t>Edge verdict: NO_CLEAR_EDGE (score 0.000).</w:t>
      </w:r>
    </w:p>
    <w:p>
      <w:pPr>
        <w:pStyle w:val="SectionHeading"/>
      </w:pPr>
      <w:r>
        <w:t>4. Catalysts</w:t>
      </w:r>
    </w:p>
    <w:p>
      <w:pPr>
        <w:pStyle w:val="ListBullet"/>
      </w:pPr>
      <w:r>
        <w:t>Next quarterly earnings report (2026-05-06 (1 days)) — resolves revenue + margins + guidance; confirms or challenges</w:t>
      </w:r>
    </w:p>
    <w:p>
      <w:pPr>
        <w:pStyle w:val="ListBullet"/>
      </w:pPr>
      <w:r>
        <w:t>Resolution: E-commerce expansion will drive sustained high growth rates (Resolves at earnings (2026-05-06)) — resolves revenue_growth; confirms or challenges</w:t>
      </w:r>
    </w:p>
    <w:p>
      <w:pPr>
        <w:pStyle w:val="ListBullet"/>
      </w:pPr>
      <w:r>
        <w:t>Resolution: Analyst blind spot (Multi-year thesis -- patience required) — resolves general; confirms or challenges</w:t>
      </w:r>
    </w:p>
    <w:p>
      <w:pPr>
        <w:pStyle w:val="ListBullet"/>
      </w:pPr>
      <w:r>
        <w:t>Resolution: Analyst blind spot (Multi-year thesis -- patience required) — resolves general; confirms or challenges</w:t>
      </w:r>
    </w:p>
    <w:p>
      <w:pPr>
        <w:pStyle w:val="ListBullet"/>
      </w:pPr>
      <w:r>
        <w:t>Specific e-commerce revenue contribution and growth metrics (Unknown timing) — resolves multiple; resolves uncertainty</w:t>
      </w:r>
    </w:p>
    <w:p>
      <w:pPr>
        <w:pStyle w:val="ListBullet"/>
      </w:pPr>
      <w:r>
        <w:t>Detailed competitive impact analysis from increased Meta/Google bidding (Unknown timing) — resolves multiple; resolves uncertainty</w:t>
      </w:r>
    </w:p>
    <w:p>
      <w:pPr>
        <w:pStyle w:val="SectionHeading"/>
      </w:pPr>
      <w:r>
        <w:t>5. Risks, Blind Spots &amp; Kill Criteria</w:t>
      </w:r>
    </w:p>
    <w:p>
      <w:pPr>
        <w:pStyle w:val="SubHeading"/>
      </w:pPr>
      <w:r>
        <w:t>Top risks:</w:t>
      </w:r>
    </w:p>
    <w:p>
      <w:pPr>
        <w:pStyle w:val="ListBullet"/>
      </w:pPr>
      <w:r>
        <w:t>The analyst assumes 39.1% revenue growth going forward — counter: Q1 2026 guidance shows sequential deceleration: midpoint $1,760M vs Q4 2025 actual $1,658M = only 6.1% sequential growth. This annualizes to roughly 26% growth, not 39.1%. Source: filing [serious]</w:t>
      </w:r>
    </w:p>
    <w:p>
      <w:pPr>
        <w:pStyle w:val="ListBullet"/>
      </w:pPr>
      <w:r>
        <w:t>The analyst mentions e-commerce expansion as a growth offset to mobile gaming maturation — counter: No mention of e-commerce expansion, DTC initiatives, or non-gaming verticals found in the filing text provided. The business description focuses solely on mobile advertising platform with DSP/SSP. Source: filing (searched extensively) [serious]</w:t>
      </w:r>
    </w:p>
    <w:p>
      <w:pPr>
        <w:pStyle w:val="ListBullet"/>
      </w:pPr>
      <w:r>
        <w:t>E-commerce expansion will drive sustained high growth rates — counter: Management refuses to break out e-commerce metrics, stating in Q4 2025 call they won't disclose because 'we think of our platform as a unified platform' and separate reporting would be 'misleading.' This lack of transparency makes it difficult to assess the actual contribution and sustainability of e-commerce growth. [moderate]</w:t>
      </w:r>
    </w:p>
    <w:p>
      <w:pPr>
        <w:pStyle w:val="SubHeading"/>
      </w:pPr>
      <w:r>
        <w:t>Blind spots (auditor-independent):</w:t>
      </w:r>
    </w:p>
    <w:p>
      <w:pPr>
        <w:pStyle w:val="ListBullet"/>
      </w:pPr>
      <w:r>
        <w:t>Material insider selling: Director Vivas sold $9.5M in shares in March 2026, which wasn't factored into the investment thesis</w:t>
      </w:r>
    </w:p>
    <w:p>
      <w:pPr>
        <w:pStyle w:val="ListBullet"/>
      </w:pPr>
      <w:r>
        <w:t>Leadership transition risk: CTO and Chief Legal Officer both departing in July-August 2026 during critical growth phase</w:t>
      </w:r>
    </w:p>
    <w:p>
      <w:pPr>
        <w:pStyle w:val="ListBullet"/>
      </w:pPr>
      <w:r>
        <w:t>Regulatory/compliance exposure: Bear research alleges illegal tracking of children and serving inappropriate ads to minors - regulatory risk not considered</w:t>
      </w:r>
    </w:p>
    <w:p>
      <w:pPr>
        <w:pStyle w:val="KillCriteria"/>
      </w:pPr>
      <w:r>
        <w:t>What would change our mind: Unable to close gap: Specific e-commerce revenue contribution and growth metrics</w:t>
      </w:r>
    </w:p>
    <w:p>
      <w:pPr>
        <w:pStyle w:val="SectionHeading"/>
      </w:pPr>
      <w:r>
        <w:t>Appendix</w:t>
      </w:r>
    </w:p>
    <w:p>
      <w:pPr>
        <w:pStyle w:val="SubHeading"/>
      </w:pPr>
      <w:r>
        <w:t>Business context:</w:t>
      </w:r>
    </w:p>
    <w:p>
      <w:r>
        <w:t>AppLovin operates a mobile advertising platform with two core segments: a demand-side platform (DSP) that helps advertisers acquire users through AI-driven targeting, and a supply-side platform (SSP) called MAX that helps mobile game developers monetize through in-app advertising. The company generates revenue primarily from advertising spend, taking a percentage of transactions flowing through its platform.</w:t>
      </w:r>
    </w:p>
    <w:p>
      <w:pPr>
        <w:pStyle w:val="SubHeading"/>
      </w:pPr>
      <w:r>
        <w:t>Evidence gaps (research TODO):</w:t>
      </w:r>
    </w:p>
    <w:p>
      <w:pPr>
        <w:pStyle w:val="ListBullet"/>
      </w:pPr>
      <w:r>
        <w:t>Specific e-commerce revenue contribution and growth metrics</w:t>
      </w:r>
    </w:p>
    <w:p>
      <w:pPr>
        <w:pStyle w:val="ListBullet"/>
      </w:pPr>
      <w:r>
        <w:t>Detailed competitive impact analysis from increased Meta/Google bidding</w:t>
      </w:r>
    </w:p>
    <w:p>
      <w:pPr>
        <w:pStyle w:val="ListBullet"/>
      </w:pPr>
      <w:r>
        <w:t>Quantified impact of AI model improvements on conversion rates</w:t>
      </w:r>
    </w:p>
    <w:p>
      <w:pPr>
        <w:pStyle w:val="ListBullet"/>
      </w:pPr>
      <w:r>
        <w:t>International expansion timeline and contribution potential</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