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BAND — BAND</w:t>
      </w:r>
    </w:p>
    <w:p>
      <w:pPr>
        <w:pStyle w:val="SmallMeta"/>
      </w:pPr>
      <w:r>
        <w:t>As of 2026-04-30  |  Schema: software  |  Data: polygon+alpha_vantage (FY2025)</w:t>
      </w:r>
    </w:p>
    <w:p>
      <w:pPr>
        <w:pStyle w:val="SubHeading"/>
      </w:pPr>
      <w:r>
        <w:rPr>
          <w:color w:val="8C1D40"/>
        </w:rPr>
        <w:t>Direction: LONG | Current: $36.55</w:t>
      </w:r>
    </w:p>
    <w:p>
      <w:pPr>
        <w:pStyle w:val="SubHeading"/>
      </w:pPr>
      <w:r>
        <w:t>Summary</w:t>
      </w:r>
    </w:p>
    <w:p>
      <w:pPr>
        <w:pStyle w:val="ListBullet"/>
      </w:pPr>
      <w:r>
        <w:t>Thesis: No clear edge identified on revenue trajectory, but potential upside to EBITDA margins as AI voice adoption drives higher-value interactions through Maestro platform.</w:t>
      </w:r>
    </w:p>
    <w:p>
      <w:pPr>
        <w:pStyle w:val="ListBullet"/>
      </w:pPr>
      <w:r>
        <w:t>Next catalyst: Next quarterly earnings report (2026-04-30 (1 days))</w:t>
      </w:r>
    </w:p>
    <w:p>
      <w:pPr>
        <w:pStyle w:val="ListBullet"/>
      </w:pPr>
      <w:r>
        <w:t>Top risk: EPS consensus of $1.75 represents current street expectations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Software schema but gross margin only 35.8%</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3 finding(s) — cited→inferred: 3</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$0.36</w:t>
            </w:r>
          </w:p>
        </w:tc>
        <w:tc>
          <w:tcPr>
            <w:tcW w:type="dxa" w:w="1399"/>
            <w:tcBorders>
              <w:top w:val="single" w:sz="4" w:color="BDC3C7"/>
              <w:bottom w:val="single" w:sz="4" w:color="BDC3C7"/>
              <w:left w:val="single" w:sz="4" w:color="BDC3C7"/>
              <w:right w:val="single" w:sz="4" w:color="BDC3C7"/>
            </w:tcBorders>
          </w:tcPr>
          <w:p>
            <w:r>
              <w:t>$0.35 – $0.37</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-5.3%</w:t>
            </w:r>
          </w:p>
        </w:tc>
        <w:tc>
          <w:tcPr>
            <w:tcW w:type="dxa" w:w="1399"/>
            <w:tcBorders>
              <w:top w:val="single" w:sz="4" w:color="BDC3C7"/>
              <w:bottom w:val="single" w:sz="4" w:color="BDC3C7"/>
              <w:left w:val="single" w:sz="4" w:color="BDC3C7"/>
              <w:right w:val="single" w:sz="4" w:color="BDC3C7"/>
            </w:tcBorders>
          </w:tcPr>
          <w:p>
            <w:r>
              <w:t>↑ +0.024</w:t>
            </w:r>
          </w:p>
        </w:tc>
        <w:tc>
          <w:tcPr>
            <w:tcW w:type="dxa" w:w="1399"/>
            <w:tcBorders>
              <w:top w:val="single" w:sz="4" w:color="BDC3C7"/>
              <w:bottom w:val="single" w:sz="4" w:color="BDC3C7"/>
              <w:left w:val="single" w:sz="4" w:color="BDC3C7"/>
              <w:right w:val="single" w:sz="4" w:color="BDC3C7"/>
            </w:tcBorders>
          </w:tcPr>
          <w:p>
            <w:r>
              <w:t>↑1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$0.46</w:t>
            </w:r>
          </w:p>
        </w:tc>
        <w:tc>
          <w:tcPr>
            <w:tcW w:type="dxa" w:w="1399"/>
            <w:tcBorders>
              <w:top w:val="single" w:sz="4" w:color="BDC3C7"/>
              <w:bottom w:val="single" w:sz="4" w:color="BDC3C7"/>
              <w:left w:val="single" w:sz="4" w:color="BDC3C7"/>
              <w:right w:val="single" w:sz="4" w:color="BDC3C7"/>
            </w:tcBorders>
          </w:tcPr>
          <w:p>
            <w:r>
              <w:t>$0.45 – $0.48</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+27.8%</w:t>
            </w:r>
          </w:p>
        </w:tc>
        <w:tc>
          <w:tcPr>
            <w:tcW w:type="dxa" w:w="1399"/>
            <w:tcBorders>
              <w:top w:val="single" w:sz="4" w:color="BDC3C7"/>
              <w:bottom w:val="single" w:sz="4" w:color="BDC3C7"/>
              <w:left w:val="single" w:sz="4" w:color="BDC3C7"/>
              <w:right w:val="single" w:sz="4" w:color="BDC3C7"/>
            </w:tcBorders>
          </w:tcPr>
          <w:p>
            <w:r>
              <w:t>↓ -0.014</w:t>
            </w:r>
          </w:p>
        </w:tc>
        <w:tc>
          <w:tcPr>
            <w:tcW w:type="dxa" w:w="1399"/>
            <w:tcBorders>
              <w:top w:val="single" w:sz="4" w:color="BDC3C7"/>
              <w:bottom w:val="single" w:sz="4" w:color="BDC3C7"/>
              <w:left w:val="single" w:sz="4" w:color="BDC3C7"/>
              <w:right w:val="single" w:sz="4" w:color="BDC3C7"/>
            </w:tcBorders>
          </w:tcPr>
          <w:p>
            <w:r>
              <w:t>↑0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$1.75</w:t>
            </w:r>
          </w:p>
        </w:tc>
        <w:tc>
          <w:tcPr>
            <w:tcW w:type="dxa" w:w="1399"/>
            <w:tcBorders>
              <w:top w:val="single" w:sz="4" w:color="BDC3C7"/>
              <w:bottom w:val="single" w:sz="4" w:color="BDC3C7"/>
              <w:left w:val="single" w:sz="4" w:color="BDC3C7"/>
              <w:right w:val="single" w:sz="4" w:color="BDC3C7"/>
            </w:tcBorders>
          </w:tcPr>
          <w:p>
            <w:r>
              <w:t>$1.70 – $1.80</w:t>
            </w:r>
          </w:p>
        </w:tc>
        <w:tc>
          <w:tcPr>
            <w:tcW w:type="dxa" w:w="1399"/>
            <w:tcBorders>
              <w:top w:val="single" w:sz="4" w:color="BDC3C7"/>
              <w:bottom w:val="single" w:sz="4" w:color="BDC3C7"/>
              <w:left w:val="single" w:sz="4" w:color="BDC3C7"/>
              <w:right w:val="single" w:sz="4" w:color="BDC3C7"/>
            </w:tcBorders>
          </w:tcPr>
          <w:p>
            <w:r>
              <w:t>4</w:t>
            </w:r>
          </w:p>
        </w:tc>
        <w:tc>
          <w:tcPr>
            <w:tcW w:type="dxa" w:w="1399"/>
            <w:tcBorders>
              <w:top w:val="single" w:sz="4" w:color="BDC3C7"/>
              <w:bottom w:val="single" w:sz="4" w:color="BDC3C7"/>
              <w:left w:val="single" w:sz="4" w:color="BDC3C7"/>
              <w:right w:val="single" w:sz="4" w:color="BDC3C7"/>
            </w:tcBorders>
          </w:tcPr>
          <w:p>
            <w:r>
              <w:t>+22.4%</w:t>
            </w:r>
          </w:p>
        </w:tc>
        <w:tc>
          <w:tcPr>
            <w:tcW w:type="dxa" w:w="1399"/>
            <w:tcBorders>
              <w:top w:val="single" w:sz="4" w:color="BDC3C7"/>
              <w:bottom w:val="single" w:sz="4" w:color="BDC3C7"/>
              <w:left w:val="single" w:sz="4" w:color="BDC3C7"/>
              <w:right w:val="single" w:sz="4" w:color="BDC3C7"/>
            </w:tcBorders>
          </w:tcPr>
          <w:p>
            <w:r>
              <w:t>↑ +0.042</w:t>
            </w:r>
          </w:p>
        </w:tc>
        <w:tc>
          <w:tcPr>
            <w:tcW w:type="dxa" w:w="1399"/>
            <w:tcBorders>
              <w:top w:val="single" w:sz="4" w:color="BDC3C7"/>
              <w:bottom w:val="single" w:sz="4" w:color="BDC3C7"/>
              <w:left w:val="single" w:sz="4" w:color="BDC3C7"/>
              <w:right w:val="single" w:sz="4" w:color="BDC3C7"/>
            </w:tcBorders>
          </w:tcPr>
          <w:p>
            <w:r>
              <w:t>↑0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$2.13</w:t>
            </w:r>
          </w:p>
        </w:tc>
        <w:tc>
          <w:tcPr>
            <w:tcW w:type="dxa" w:w="1399"/>
            <w:tcBorders>
              <w:top w:val="single" w:sz="4" w:color="BDC3C7"/>
              <w:bottom w:val="single" w:sz="4" w:color="BDC3C7"/>
              <w:left w:val="single" w:sz="4" w:color="BDC3C7"/>
              <w:right w:val="single" w:sz="4" w:color="BDC3C7"/>
            </w:tcBorders>
          </w:tcPr>
          <w:p>
            <w:r>
              <w:t>$1.73 – $3.00</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+21.7%</w:t>
            </w:r>
          </w:p>
        </w:tc>
        <w:tc>
          <w:tcPr>
            <w:tcW w:type="dxa" w:w="1399"/>
            <w:tcBorders>
              <w:top w:val="single" w:sz="4" w:color="BDC3C7"/>
              <w:bottom w:val="single" w:sz="4" w:color="BDC3C7"/>
              <w:left w:val="single" w:sz="4" w:color="BDC3C7"/>
              <w:right w:val="single" w:sz="4" w:color="BDC3C7"/>
            </w:tcBorders>
          </w:tcPr>
          <w:p>
            <w:r>
              <w:t>↑ +0.257</w:t>
            </w:r>
          </w:p>
        </w:tc>
        <w:tc>
          <w:tcPr>
            <w:tcW w:type="dxa" w:w="1399"/>
            <w:tcBorders>
              <w:top w:val="single" w:sz="4" w:color="BDC3C7"/>
              <w:bottom w:val="single" w:sz="4" w:color="BDC3C7"/>
              <w:left w:val="single" w:sz="4" w:color="BDC3C7"/>
              <w:right w:val="single" w:sz="4" w:color="BDC3C7"/>
            </w:tcBorders>
          </w:tcPr>
          <w:p>
            <w:r>
              <w:t>↑0 / ↓4</w:t>
            </w:r>
          </w:p>
        </w:tc>
      </w:tr>
    </w:tbl>
    <w:p>
      <w:r>
        <w:t>Revenue consensus: Q $0.21B (+18.5%)  |  Q+1 $0.22B (+16.7%)  |  FY $0.88B (+17.3%)  |  FY+1 $0.92B (+4.2%)</w:t>
      </w:r>
    </w:p>
    <w:p>
      <w:r>
        <w:t>Price targets: Mean $24.50  |  Median $23.50  |  Range $15.00–$36.00  |  Current $36.02 (-32.0% to mean)</w:t>
      </w:r>
    </w:p>
    <w:p>
      <w:r>
        <w:t>Analyst ratings (n=5): Strong Buy 2 · Buy 2 · Hold 1 · Sell 0 · Strong Sell 0  ·  80% bullish</w:t>
      </w:r>
    </w:p>
    <w:p>
      <w:r>
        <w:t>Next earnings: 2026-04-30 (0d out)  ·  EPS $0.36 ($0.35–$0.37)  ·  Rev $0.21B</w:t>
      </w:r>
    </w:p>
    <w:p>
      <w:pPr>
        <w:pStyle w:val="SectionHeading"/>
      </w:pPr>
      <w:r>
        <w:t>1. Research Synthesis</w:t>
      </w:r>
    </w:p>
    <w:p>
      <w:r>
        <w:t>Bandwidth has emerged from a period of measured execution into what management describes as 'historic momentum,' driven by the intersection of AI adoption and their unique network ownership model. The Q1 2026 results showed record revenue of $209 million (up 20% year-over-year) and record first-quarter adjusted EBITDA of $26 million, prompting management to raise full-year guidance for the second time in recent quarters. This pattern of conservative initial guidance followed by upward revisions has become a hallmark of CFO Daryl Raiford's approach, with EBITDA guidance raised three times in 2025 alone.</w:t>
      </w:r>
    </w:p>
    <w:p>
      <w:r>
        <w:t>The company's strategic positioning around AI voice represents a notable evolution from their previous messaging as a general cloud communications provider. In the Q1 2026 call, CEO David Morken articulated a new value proposition: 'We are no longer just enabling AI. We are orchestrating it. Through our Maestro platform, we participate in every interaction, allowing us to capture more value as customer usage grows.' This shift from per-minute to per-interaction revenue capture could prove significant as AI interactions become more complex and frequent. The Salesforce AgentForce Contact Center partnership, announced in Q1, provides concrete validation of this positioning, with Salesforce selecting Bandwidth as critical infrastructure for their AI-first contact center platform.</w:t>
      </w:r>
    </w:p>
    <w:p>
      <w:pPr>
        <w:pStyle w:val="PullQuote"/>
      </w:pPr>
      <w:r>
        <w:t>Counter: the analyst claims No clear edge identified on revenue trajectory, but potential upside to EBITDA margins as AI voice adoption drives higher-value interactions — but If the analyst admits no edge on the primary revenue driver but bets on a margin expansion story, this is structurally weak. Margin expansion without revenue visibility suggests the thesis depends on operational leverage that may not materialize if AI voice adoption disappoints. The guidance credibility pattern shows management consistently raising EBITDA guidance, suggesting margins may already…</w:t>
      </w:r>
    </w:p>
    <w:p>
      <w:r>
        <w:t>The financial trajectory shows consistent improvement in unit economics alongside top-line growth. Non-GAAP gross margins expanded 50 basis points to 59.5% in Q1 2026, with management targeting 60%+ margins as part of their 2026 medium-term goals. Average annual customer revenue reached a record $232,000 at the end of 2025, up from $171,000 three years prior, indicating successful migration toward higher-value enterprise customers. The company closed a record number of million-dollar-plus deals in both Q3 and Q4 2025, with enterprise voice revenue growing 14% year-over-year in Q1 2026.</w:t>
      </w:r>
    </w:p>
    <w:p>
      <w:r>
        <w:t>However, several factors warrant caution in extrapolating current momentum. The 102% net retention rate in Q1 2026, while stable, suggests limited expansion within the existing customer base beyond new customer additions. Management's dodge of analyst Patrick Walravens' direct question about achieving the low end of their 15-20% revenue CAGR target in the Q3 2025 call ('We are continuing to focus on... above-market revenue growth') indicates potential skepticism about reaching the upper bounds of their medium-term targets. The political campaign messaging revenue, which provided a tailwind in prior election cycles, creates difficult year-over-year comparisons and adds volatility to the messaging segment.</w:t>
      </w:r>
    </w:p>
    <w:p>
      <w:r>
        <w:t>The competitive moat claims around network ownership deserve scrutiny despite management's confidence. While CEO Morken asserts that 'only a company that owns the underlying network can provide' the ultra-low latency and regulatory control required for AI voice, the actual technical barriers to entry remain somewhat abstract. The 'impossible for virtual providers to replicate' language in the Q1 2026 call represents strong positioning but lacks specific competitive proof points beyond general infrastructure advantages. The company's ability to sustain margin expansion while scaling will be the ultimate test of whether network ownership translates to durable economic advantages.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$0.36</w:t>
            </w:r>
          </w:p>
        </w:tc>
        <w:tc>
          <w:tcPr>
            <w:tcW w:type="dxa" w:w="3264"/>
            <w:tcBorders>
              <w:top w:val="single" w:sz="4" w:color="BDC3C7"/>
              <w:bottom w:val="single" w:sz="4" w:color="BDC3C7"/>
              <w:left w:val="single" w:sz="4" w:color="BDC3C7"/>
              <w:right w:val="single" w:sz="4" w:color="BDC3C7"/>
            </w:tcBorders>
          </w:tcPr>
          <w:p>
            <w:r>
              <w:t>$213M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$0.46</w:t>
            </w:r>
          </w:p>
        </w:tc>
        <w:tc>
          <w:tcPr>
            <w:tcW w:type="dxa" w:w="3264"/>
            <w:tcBorders>
              <w:top w:val="single" w:sz="4" w:color="BDC3C7"/>
              <w:bottom w:val="single" w:sz="4" w:color="BDC3C7"/>
              <w:left w:val="single" w:sz="4" w:color="BDC3C7"/>
              <w:right w:val="single" w:sz="4" w:color="BDC3C7"/>
            </w:tcBorders>
          </w:tcPr>
          <w:p>
            <w:r>
              <w:t>$224M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$1.75</w:t>
            </w:r>
          </w:p>
        </w:tc>
        <w:tc>
          <w:tcPr>
            <w:tcW w:type="dxa" w:w="3264"/>
            <w:tcBorders>
              <w:top w:val="single" w:sz="4" w:color="BDC3C7"/>
              <w:bottom w:val="single" w:sz="4" w:color="BDC3C7"/>
              <w:left w:val="single" w:sz="4" w:color="BDC3C7"/>
              <w:right w:val="single" w:sz="4" w:color="BDC3C7"/>
            </w:tcBorders>
          </w:tcPr>
          <w:p>
            <w:r>
              <w:t>$884M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$2.13</w:t>
            </w:r>
          </w:p>
        </w:tc>
        <w:tc>
          <w:tcPr>
            <w:tcW w:type="dxa" w:w="3264"/>
            <w:tcBorders>
              <w:top w:val="single" w:sz="4" w:color="BDC3C7"/>
              <w:bottom w:val="single" w:sz="4" w:color="BDC3C7"/>
              <w:left w:val="single" w:sz="4" w:color="BDC3C7"/>
              <w:right w:val="single" w:sz="4" w:color="BDC3C7"/>
            </w:tcBorders>
          </w:tcPr>
          <w:p>
            <w:r>
              <w:t>$921M</w:t>
            </w:r>
          </w:p>
        </w:tc>
      </w:tr>
    </w:tbl>
    <w:p>
      <w:pPr>
        <w:pStyle w:val="SubHeading"/>
      </w:pPr>
      <w:r>
        <w:t>Management guidance:</w:t>
      </w:r>
    </w:p>
    <w:p>
      <w:pPr>
        <w:pStyle w:val="ListBullet"/>
      </w:pPr>
      <w:r>
        <w:t>EPS (FY2026): $1.77 and $1.83  — Q1 2026, call, CFO</w:t>
      </w:r>
    </w:p>
    <w:p>
      <w:pPr>
        <w:pStyle w:val="ListBullet"/>
      </w:pPr>
      <w:r>
        <w:t>Adj. EBITDA (Q2 2026): $24 million and $27 million  — Q1 2026, call, CFO</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net_retention_rate</w:t>
            </w:r>
          </w:p>
        </w:tc>
        <w:tc>
          <w:tcPr>
            <w:tcW w:type="dxa" w:w="1958"/>
            <w:tcBorders>
              <w:top w:val="single" w:sz="4" w:color="BDC3C7"/>
              <w:bottom w:val="single" w:sz="4" w:color="BDC3C7"/>
              <w:left w:val="single" w:sz="4" w:color="BDC3C7"/>
              <w:right w:val="single" w:sz="4" w:color="BDC3C7"/>
            </w:tcBorders>
          </w:tcPr>
          <w:p>
            <w:r>
              <w:rPr>
                <w:b/>
              </w:rPr>
              <w:t>+98.00%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customer_expansion</w:t>
            </w:r>
          </w:p>
        </w:tc>
        <w:tc>
          <w:tcPr>
            <w:tcW w:type="dxa" w:w="1958"/>
            <w:tcBorders>
              <w:top w:val="single" w:sz="4" w:color="BDC3C7"/>
              <w:bottom w:val="single" w:sz="4" w:color="BDC3C7"/>
              <w:left w:val="single" w:sz="4" w:color="BDC3C7"/>
              <w:right w:val="single" w:sz="4" w:color="BDC3C7"/>
            </w:tcBorders>
          </w:tcPr>
          <w:p>
            <w:r>
              <w:t>+98.00%</w:t>
            </w:r>
          </w:p>
        </w:tc>
        <w:tc>
          <w:tcPr>
            <w:tcW w:type="dxa" w:w="1958"/>
            <w:tcBorders>
              <w:top w:val="single" w:sz="4" w:color="BDC3C7"/>
              <w:bottom w:val="single" w:sz="4" w:color="BDC3C7"/>
              <w:left w:val="single" w:sz="4" w:color="BDC3C7"/>
              <w:right w:val="single" w:sz="4" w:color="BDC3C7"/>
            </w:tcBorders>
          </w:tcPr>
          <w:p>
            <w:r>
              <w:t>0.75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Q1 2026 earnings call, CFO Daryl Raiford disclosed 'our reported net retention rate for the first quarter was 102%.' This represents stable but modest expansion, consistent with the company's focus on large enterp  [auto-downgraded: citation text not found in corpus: 'CFO Q1 2026 call: 'our reported net retention rate for the first quarter was 102...']</w:t>
            </w:r>
          </w:p>
        </w:tc>
      </w:tr>
      <w:tr>
        <w:tc>
          <w:tcPr>
            <w:tcW w:type="dxa" w:w="1958"/>
            <w:tcBorders>
              <w:top w:val="single" w:sz="4" w:color="BDC3C7"/>
              <w:bottom w:val="single" w:sz="4" w:color="BDC3C7"/>
              <w:left w:val="single" w:sz="4" w:color="BDC3C7"/>
              <w:right w:val="single" w:sz="4" w:color="BDC3C7"/>
            </w:tcBorders>
          </w:tcPr>
          <w:p>
            <w:r>
              <w:rPr>
                <w:b/>
              </w:rPr>
              <w:t>new_arr_growth</w:t>
            </w:r>
          </w:p>
        </w:tc>
        <w:tc>
          <w:tcPr>
            <w:tcW w:type="dxa" w:w="1958"/>
            <w:tcBorders>
              <w:top w:val="single" w:sz="4" w:color="BDC3C7"/>
              <w:bottom w:val="single" w:sz="4" w:color="BDC3C7"/>
              <w:left w:val="single" w:sz="4" w:color="BDC3C7"/>
              <w:right w:val="single" w:sz="4" w:color="BDC3C7"/>
            </w:tcBorders>
          </w:tcPr>
          <w:p>
            <w:r>
              <w:rPr>
                <w:b/>
              </w:rPr>
              <w:t>+10.00%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enterprise_customer_wins</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reported record numbers of million-dollar-plus deals in both Q3 and Q4 2025, with enterprise voice revenue growing 14% year-over-year in Q1 2026. In the Q4 2025 call, CEO David Morken noted 'We closed a record  [auto-downgraded: basis contains numbers not found in corpus: $232000, $171000]</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new_arr_growth.enterprise_customer_wins: 15.0 → 10.0 — If AI voice adoption proves slower than expected or competitive pressure increases, new customer acquisition could decelerate from current record pace</w:t>
      </w:r>
    </w:p>
    <w:p>
      <w:pPr>
        <w:pStyle w:val="PullQuote"/>
      </w:pPr>
      <w:r>
        <w:t>Counter: the analyst claims Network ownership creates durable competitive moat for AI voice applications requiring ultra-low latency — but Network ownership is a double-edged sword - it provides control but requires continuous capex investment and regulatory compliance. As AI voice scales, the infrastructure demands could overwhelm the margin benefits. Additionally, hyperscale cloud providers have deeper pockets to build competing infrastructure and could vertically integrate voice services, eliminating Bandwidth's positioning as…</w:t>
      </w:r>
    </w:p>
    <w:p>
      <w:pPr>
        <w:pStyle w:val="SectionHeading"/>
      </w:pPr>
      <w:r>
        <w:t>3. Consensus Gap &amp; Valuation</w:t>
      </w:r>
    </w:p>
    <w:p>
      <w:r>
        <w:t>Our EPS: $1.77  =  baseline $1.77  +  Σ claim impacts $+0.00 (1.1% above consensus $1.75)</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guidance EPS midpoint</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$1.77</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$1.77</w:t>
            </w:r>
          </w:p>
        </w:tc>
      </w:tr>
    </w:tbl>
    <w:p>
      <w:pPr>
        <w:pStyle w:val="PullQuote"/>
      </w:pPr>
      <w:r>
        <w:t xml:space="preserve">  ⚠ No edge claims; our EPS matches baseline (consensus).</w:t>
      </w:r>
    </w:p>
    <w:p>
      <w:r>
        <w:t>Our estimate is $0.02 (1.1%) above consensus $1.75. Primary driver: net_retention_rate.customer_expansion (ours +98.0 vs street +98.5, contributing $-0.047 to EPS variant, evidence: strong). Variant appears within market noise -- may already be priced in. Next catalyst: Next quarterly earnings report (2026-04-30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net_retention_rate.customer_expansion</w:t>
            </w:r>
          </w:p>
        </w:tc>
        <w:tc>
          <w:tcPr>
            <w:tcW w:type="dxa" w:w="1958"/>
            <w:tcBorders>
              <w:top w:val="single" w:sz="4" w:color="BDC3C7"/>
              <w:bottom w:val="single" w:sz="4" w:color="BDC3C7"/>
              <w:left w:val="single" w:sz="4" w:color="BDC3C7"/>
              <w:right w:val="single" w:sz="4" w:color="BDC3C7"/>
            </w:tcBorders>
          </w:tcPr>
          <w:p>
            <w:r>
              <w:t>+98.00</w:t>
            </w:r>
          </w:p>
        </w:tc>
        <w:tc>
          <w:tcPr>
            <w:tcW w:type="dxa" w:w="1958"/>
            <w:tcBorders>
              <w:top w:val="single" w:sz="4" w:color="BDC3C7"/>
              <w:bottom w:val="single" w:sz="4" w:color="BDC3C7"/>
              <w:left w:val="single" w:sz="4" w:color="BDC3C7"/>
              <w:right w:val="single" w:sz="4" w:color="BDC3C7"/>
            </w:tcBorders>
          </w:tcPr>
          <w:p>
            <w:r>
              <w:t>+98.52</w:t>
            </w:r>
          </w:p>
        </w:tc>
        <w:tc>
          <w:tcPr>
            <w:tcW w:type="dxa" w:w="1958"/>
            <w:tcBorders>
              <w:top w:val="single" w:sz="4" w:color="BDC3C7"/>
              <w:bottom w:val="single" w:sz="4" w:color="BDC3C7"/>
              <w:left w:val="single" w:sz="4" w:color="BDC3C7"/>
              <w:right w:val="single" w:sz="4" w:color="BDC3C7"/>
            </w:tcBorders>
          </w:tcPr>
          <w:p>
            <w:r>
              <w:t>-0.047</w:t>
            </w:r>
          </w:p>
        </w:tc>
        <w:tc>
          <w:tcPr>
            <w:tcW w:type="dxa" w:w="1958"/>
            <w:tcBorders>
              <w:top w:val="single" w:sz="4" w:color="BDC3C7"/>
              <w:bottom w:val="single" w:sz="4" w:color="BDC3C7"/>
              <w:left w:val="single" w:sz="4" w:color="BDC3C7"/>
              <w:right w:val="single" w:sz="4" w:color="BDC3C7"/>
            </w:tcBorders>
          </w:tcPr>
          <w:p>
            <w:r>
              <w:t>0.75</w:t>
            </w:r>
          </w:p>
        </w:tc>
      </w:tr>
      <w:tr>
        <w:tc>
          <w:tcPr>
            <w:tcW w:type="dxa" w:w="1958"/>
            <w:tcBorders>
              <w:top w:val="single" w:sz="4" w:color="BDC3C7"/>
              <w:bottom w:val="single" w:sz="4" w:color="BDC3C7"/>
              <w:left w:val="single" w:sz="4" w:color="BDC3C7"/>
              <w:right w:val="single" w:sz="4" w:color="BDC3C7"/>
            </w:tcBorders>
          </w:tcPr>
          <w:p>
            <w:r>
              <w:t>new_arr_growth.enterprise_customer_wins</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+10.47</w:t>
            </w:r>
          </w:p>
        </w:tc>
        <w:tc>
          <w:tcPr>
            <w:tcW w:type="dxa" w:w="1958"/>
            <w:tcBorders>
              <w:top w:val="single" w:sz="4" w:color="BDC3C7"/>
              <w:bottom w:val="single" w:sz="4" w:color="BDC3C7"/>
              <w:left w:val="single" w:sz="4" w:color="BDC3C7"/>
              <w:right w:val="single" w:sz="4" w:color="BDC3C7"/>
            </w:tcBorders>
          </w:tcPr>
          <w:p>
            <w:r>
              <w:t>-0.042</w:t>
            </w:r>
          </w:p>
        </w:tc>
        <w:tc>
          <w:tcPr>
            <w:tcW w:type="dxa" w:w="1958"/>
            <w:tcBorders>
              <w:top w:val="single" w:sz="4" w:color="BDC3C7"/>
              <w:bottom w:val="single" w:sz="4" w:color="BDC3C7"/>
              <w:left w:val="single" w:sz="4" w:color="BDC3C7"/>
              <w:right w:val="single" w:sz="4" w:color="BDC3C7"/>
            </w:tcBorders>
          </w:tcPr>
          <w:p>
            <w:r>
              <w:t>0.60</w:t>
            </w:r>
          </w:p>
        </w:tc>
      </w:tr>
    </w:tbl>
    <w:p>
      <w:r>
        <w:t>Priced in: likely — Variant (+1.1%) within implied move noise (5.0%)</w:t>
      </w:r>
    </w:p>
    <w:p>
      <w:r>
        <w:t>Edge verdict: NO_CLEAR_EDGE (score 0.011).</w:t>
      </w:r>
    </w:p>
    <w:p>
      <w:pPr>
        <w:pStyle w:val="PullQuote"/>
      </w:pPr>
      <w:r>
        <w:t>Counter: the analyst claims Applying software schema valuation to network infrastructure business — but Bandwidth operates physical network infrastructure with ongoing capex requirements, regulatory oversight, and operational complexity that pure software companies don't face. Valuing it on software multiples ignores the capital intensity and regulatory risk profile that typically warrant telecom/infrastructure discounts. The peer comp table shows software companies but no telecom infrastructure…</w:t>
      </w:r>
    </w:p>
    <w:p>
      <w:pPr>
        <w:pStyle w:val="PullQuote"/>
      </w:pPr>
      <w:r>
        <w:t>Counter: the analyst claims Using consensus EPS of $1.75 as baseline for analysis — but Management has already guided above this level ($1.77-$1.83), and their track record shows conservative guidance with consistent beats. If consensus hasn't reset higher, the analyst is essentially betting against a management team with demonstrated credibility on earnings delivery. This creates false alpha when the 'beat' is already telegraphed.</w:t>
      </w:r>
    </w:p>
    <w:p>
      <w:pPr>
        <w:pStyle w:val="SectionHeading"/>
      </w:pPr>
      <w:r>
        <w:t>4. Catalysts</w:t>
      </w:r>
    </w:p>
    <w:p>
      <w:pPr>
        <w:pStyle w:val="ListBullet"/>
      </w:pPr>
      <w:r>
        <w:t>Next quarterly earnings report (2026-04-30 (1 days)) — resolves revenue + margins + guidance; confirms or challenges</w:t>
      </w:r>
    </w:p>
    <w:p>
      <w:pPr>
        <w:pStyle w:val="ListBullet"/>
      </w:pPr>
      <w:r>
        <w:t>Resolution: AI voice adoption will drive sustained revenue acceleration (Resolves over 2-4 quarters) — resolves new_arr_growth;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revenue contribution from Salesforce AgentForce partnership (Unknown timing) — resolves multiple; resolves uncertainty</w:t>
      </w:r>
    </w:p>
    <w:p>
      <w:pPr>
        <w:pStyle w:val="ListBullet"/>
      </w:pPr>
      <w:r>
        <w:t>Quantified impact of per-interaction vs per-minute pricing model (Unknown timing) — resolves multiple; resolves uncertainty</w:t>
      </w:r>
    </w:p>
    <w:p>
      <w:pPr>
        <w:pStyle w:val="SectionHeading"/>
      </w:pPr>
      <w:r>
        <w:t>5. Risks, Blind Spots &amp; Kill Criteria</w:t>
      </w:r>
    </w:p>
    <w:p>
      <w:pPr>
        <w:pStyle w:val="SubHeading"/>
      </w:pPr>
      <w:r>
        <w:t>Top risks:</w:t>
      </w:r>
    </w:p>
    <w:p>
      <w:pPr>
        <w:pStyle w:val="ListBullet"/>
      </w:pPr>
      <w:r>
        <w:t>EPS consensus of $1.75 represents current street expectations — counter: Management raised full-year 2026 EPS guidance to $1.77-$1.83 in Q1 2026, with midpoint of $1.80. If consensus is still $1.75, it hasn't caught up to management's raised guidance, suggesting analyst is using stale consensus (source: transcripts - Q1 2026 guidance shows 'non-GAAP EPS to be in the range of $1.77 and $1.83') [serious]</w:t>
      </w:r>
    </w:p>
    <w:p>
      <w:pPr>
        <w:pStyle w:val="ListBullet"/>
      </w:pPr>
      <w:r>
        <w:t>AI voice adoption will drive sustained revenue acceleration — counter: Net retention rate of only 102% suggests limited expansion within existing customer base despite AI adoption. Management's evasive response to questions about achieving 15-20% revenue CAGR targets indicates potential skepticism about sustaining high growth rates. [moderate]</w:t>
      </w:r>
    </w:p>
    <w:p>
      <w:pPr>
        <w:pStyle w:val="ListBullet"/>
      </w:pPr>
      <w:r>
        <w:t>Analyst blind spot — counter: Capital intensity of network ownership during AI voice scaling - if AI voice adoption accelerates, Bandwidth may need significant capex to expand network capacity, potentially pressuring free cash flow conversion [moderate]</w:t>
      </w:r>
    </w:p>
    <w:p>
      <w:pPr>
        <w:pStyle w:val="SubHeading"/>
      </w:pPr>
      <w:r>
        <w:t>Blind spots (auditor-independent):</w:t>
      </w:r>
    </w:p>
    <w:p>
      <w:pPr>
        <w:pStyle w:val="ListBullet"/>
      </w:pPr>
      <w:r>
        <w:t>Capital intensity of network ownership during AI voice scaling - if AI voice adoption accelerates, Bandwidth may need significant capex to expand network capacity, potentially pressuring free cash flow conversion</w:t>
      </w:r>
    </w:p>
    <w:p>
      <w:pPr>
        <w:pStyle w:val="ListBullet"/>
      </w:pPr>
      <w:r>
        <w:t>Regulatory exposure from being a carrier - owning network infrastructure subjects Bandwidth to telecom regulations that pure-play software companies avoid, creating compliance costs and operational constraints not considered in software multiple valuation</w:t>
      </w:r>
    </w:p>
    <w:p>
      <w:pPr>
        <w:pStyle w:val="ListBullet"/>
      </w:pPr>
      <w:r>
        <w:t>Customer concentration risk in AI voice - if a few large enterprise customers drive the AI voice adoption thesis, loss of key accounts could disproportionately impact the margin expansion story</w:t>
      </w:r>
    </w:p>
    <w:p>
      <w:pPr>
        <w:pStyle w:val="KillCriteria"/>
      </w:pPr>
      <w:r>
        <w:t>What would change our mind: Print on net_retention_rate.customer_expansion comes in above our +98.0 figure (toward street +98.5) in the next 1-2 prints.</w:t>
      </w:r>
    </w:p>
    <w:p>
      <w:pPr>
        <w:pStyle w:val="SectionHeading"/>
      </w:pPr>
      <w:r>
        <w:t>Appendix</w:t>
      </w:r>
    </w:p>
    <w:p>
      <w:pPr>
        <w:pStyle w:val="SubHeading"/>
      </w:pPr>
      <w:r>
        <w:t>Evidence gaps (research TODO):</w:t>
      </w:r>
    </w:p>
    <w:p>
      <w:pPr>
        <w:pStyle w:val="ListBullet"/>
      </w:pPr>
      <w:r>
        <w:t>Specific revenue contribution from Salesforce AgentForce partnership</w:t>
      </w:r>
    </w:p>
    <w:p>
      <w:pPr>
        <w:pStyle w:val="ListBullet"/>
      </w:pPr>
      <w:r>
        <w:t>Quantified impact of per-interaction vs per-minute pricing model</w:t>
      </w:r>
    </w:p>
    <w:p>
      <w:pPr>
        <w:pStyle w:val="ListBullet"/>
      </w:pPr>
      <w:r>
        <w:t>Competitive response from virtual providers to AI voice positioning</w:t>
      </w:r>
    </w:p>
    <w:p>
      <w:pPr>
        <w:pStyle w:val="ListBullet"/>
      </w:pPr>
      <w:r>
        <w:t>Detailed breakdown of political campaign messaging revenue impact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