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BAND — BAND</w:t>
      </w:r>
    </w:p>
    <w:p>
      <w:pPr>
        <w:pStyle w:val="SmallMeta"/>
      </w:pPr>
      <w:r>
        <w:t>As of 2026-05-04  |  Schema: general  |  Data: polygon+alpha_vantage (FY2025)</w:t>
      </w:r>
    </w:p>
    <w:p>
      <w:pPr>
        <w:pStyle w:val="SubHeading"/>
      </w:pPr>
      <w:r>
        <w:rPr>
          <w:color w:val="8C1D40"/>
        </w:rPr>
        <w:t>Direction: SHORT | Current: $44.35</w:t>
      </w:r>
    </w:p>
    <w:p>
      <w:pPr>
        <w:pStyle w:val="SubHeading"/>
      </w:pPr>
      <w:r>
        <w:t>Summary</w:t>
      </w:r>
    </w:p>
    <w:p>
      <w:pPr>
        <w:pStyle w:val="ListBullet"/>
      </w:pPr>
      <w:r>
        <w:t>Thesis: No clear edge identified -- estimate is close to consensus range.</w:t>
      </w:r>
    </w:p>
    <w:p>
      <w:pPr>
        <w:pStyle w:val="ListBullet"/>
      </w:pPr>
      <w:r>
        <w:t>Next catalyst: Next quarterly earnings report (2026-07-28 (85 days))</w:t>
      </w:r>
    </w:p>
    <w:p>
      <w:pPr>
        <w:pStyle w:val="ListBullet"/>
      </w:pPr>
      <w:r>
        <w:t>Top risk: AI voice adoption will drive sustained acceleration in voice revenue growth</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2 finding(s) — cited→inferred: 2</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$0.37</w:t>
            </w:r>
          </w:p>
        </w:tc>
        <w:tc>
          <w:tcPr>
            <w:tcW w:type="dxa" w:w="1399"/>
            <w:tcBorders>
              <w:top w:val="single" w:sz="4" w:color="BDC3C7"/>
              <w:bottom w:val="single" w:sz="4" w:color="BDC3C7"/>
              <w:left w:val="single" w:sz="4" w:color="BDC3C7"/>
              <w:right w:val="single" w:sz="4" w:color="BDC3C7"/>
            </w:tcBorders>
          </w:tcPr>
          <w:p>
            <w:r>
              <w:t>$0.35 – $0.38</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 +0.032</w:t>
            </w:r>
          </w:p>
        </w:tc>
        <w:tc>
          <w:tcPr>
            <w:tcW w:type="dxa" w:w="1399"/>
            <w:tcBorders>
              <w:top w:val="single" w:sz="4" w:color="BDC3C7"/>
              <w:bottom w:val="single" w:sz="4" w:color="BDC3C7"/>
              <w:left w:val="single" w:sz="4" w:color="BDC3C7"/>
              <w:right w:val="single" w:sz="4" w:color="BDC3C7"/>
            </w:tcBorders>
          </w:tcPr>
          <w:p>
            <w:r>
              <w:t>↑1 / ↓3</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$0.45</w:t>
            </w:r>
          </w:p>
        </w:tc>
        <w:tc>
          <w:tcPr>
            <w:tcW w:type="dxa" w:w="1399"/>
            <w:tcBorders>
              <w:top w:val="single" w:sz="4" w:color="BDC3C7"/>
              <w:bottom w:val="single" w:sz="4" w:color="BDC3C7"/>
              <w:left w:val="single" w:sz="4" w:color="BDC3C7"/>
              <w:right w:val="single" w:sz="4" w:color="BDC3C7"/>
            </w:tcBorders>
          </w:tcPr>
          <w:p>
            <w:r>
              <w:t>$0.40 – $0.48</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+23.9%</w:t>
            </w:r>
          </w:p>
        </w:tc>
        <w:tc>
          <w:tcPr>
            <w:tcW w:type="dxa" w:w="1399"/>
            <w:tcBorders>
              <w:top w:val="single" w:sz="4" w:color="BDC3C7"/>
              <w:bottom w:val="single" w:sz="4" w:color="BDC3C7"/>
              <w:left w:val="single" w:sz="4" w:color="BDC3C7"/>
              <w:right w:val="single" w:sz="4" w:color="BDC3C7"/>
            </w:tcBorders>
          </w:tcPr>
          <w:p>
            <w:r>
              <w:t>↓ -0.028</w:t>
            </w:r>
          </w:p>
        </w:tc>
        <w:tc>
          <w:tcPr>
            <w:tcW w:type="dxa" w:w="1399"/>
            <w:tcBorders>
              <w:top w:val="single" w:sz="4" w:color="BDC3C7"/>
              <w:bottom w:val="single" w:sz="4" w:color="BDC3C7"/>
              <w:left w:val="single" w:sz="4" w:color="BDC3C7"/>
              <w:right w:val="single" w:sz="4" w:color="BDC3C7"/>
            </w:tcBorders>
          </w:tcPr>
          <w:p>
            <w:r>
              <w:t>↑0 / ↓4</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$1.80</w:t>
            </w:r>
          </w:p>
        </w:tc>
        <w:tc>
          <w:tcPr>
            <w:tcW w:type="dxa" w:w="1399"/>
            <w:tcBorders>
              <w:top w:val="single" w:sz="4" w:color="BDC3C7"/>
              <w:bottom w:val="single" w:sz="4" w:color="BDC3C7"/>
              <w:left w:val="single" w:sz="4" w:color="BDC3C7"/>
              <w:right w:val="single" w:sz="4" w:color="BDC3C7"/>
            </w:tcBorders>
          </w:tcPr>
          <w:p>
            <w:r>
              <w:t>$1.77 – $1.82</w:t>
            </w:r>
          </w:p>
        </w:tc>
        <w:tc>
          <w:tcPr>
            <w:tcW w:type="dxa" w:w="1399"/>
            <w:tcBorders>
              <w:top w:val="single" w:sz="4" w:color="BDC3C7"/>
              <w:bottom w:val="single" w:sz="4" w:color="BDC3C7"/>
              <w:left w:val="single" w:sz="4" w:color="BDC3C7"/>
              <w:right w:val="single" w:sz="4" w:color="BDC3C7"/>
            </w:tcBorders>
          </w:tcPr>
          <w:p>
            <w:r>
              <w:t>4</w:t>
            </w:r>
          </w:p>
        </w:tc>
        <w:tc>
          <w:tcPr>
            <w:tcW w:type="dxa" w:w="1399"/>
            <w:tcBorders>
              <w:top w:val="single" w:sz="4" w:color="BDC3C7"/>
              <w:bottom w:val="single" w:sz="4" w:color="BDC3C7"/>
              <w:left w:val="single" w:sz="4" w:color="BDC3C7"/>
              <w:right w:val="single" w:sz="4" w:color="BDC3C7"/>
            </w:tcBorders>
          </w:tcPr>
          <w:p>
            <w:r>
              <w:t>+25.7%</w:t>
            </w:r>
          </w:p>
        </w:tc>
        <w:tc>
          <w:tcPr>
            <w:tcW w:type="dxa" w:w="1399"/>
            <w:tcBorders>
              <w:top w:val="single" w:sz="4" w:color="BDC3C7"/>
              <w:bottom w:val="single" w:sz="4" w:color="BDC3C7"/>
              <w:left w:val="single" w:sz="4" w:color="BDC3C7"/>
              <w:right w:val="single" w:sz="4" w:color="BDC3C7"/>
            </w:tcBorders>
          </w:tcPr>
          <w:p>
            <w:r>
              <w:t>↑ +0.090</w:t>
            </w:r>
          </w:p>
        </w:tc>
        <w:tc>
          <w:tcPr>
            <w:tcW w:type="dxa" w:w="1399"/>
            <w:tcBorders>
              <w:top w:val="single" w:sz="4" w:color="BDC3C7"/>
              <w:bottom w:val="single" w:sz="4" w:color="BDC3C7"/>
              <w:left w:val="single" w:sz="4" w:color="BDC3C7"/>
              <w:right w:val="single" w:sz="4" w:color="BDC3C7"/>
            </w:tcBorders>
          </w:tcPr>
          <w:p>
            <w:r>
              <w:t>↑0 / ↓4</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$2.19</w:t>
            </w:r>
          </w:p>
        </w:tc>
        <w:tc>
          <w:tcPr>
            <w:tcW w:type="dxa" w:w="1399"/>
            <w:tcBorders>
              <w:top w:val="single" w:sz="4" w:color="BDC3C7"/>
              <w:bottom w:val="single" w:sz="4" w:color="BDC3C7"/>
              <w:left w:val="single" w:sz="4" w:color="BDC3C7"/>
              <w:right w:val="single" w:sz="4" w:color="BDC3C7"/>
            </w:tcBorders>
          </w:tcPr>
          <w:p>
            <w:r>
              <w:t>$1.76 – $3.00</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+21.6%</w:t>
            </w:r>
          </w:p>
        </w:tc>
        <w:tc>
          <w:tcPr>
            <w:tcW w:type="dxa" w:w="1399"/>
            <w:tcBorders>
              <w:top w:val="single" w:sz="4" w:color="BDC3C7"/>
              <w:bottom w:val="single" w:sz="4" w:color="BDC3C7"/>
              <w:left w:val="single" w:sz="4" w:color="BDC3C7"/>
              <w:right w:val="single" w:sz="4" w:color="BDC3C7"/>
            </w:tcBorders>
          </w:tcPr>
          <w:p>
            <w:r>
              <w:t>↑ +0.313</w:t>
            </w:r>
          </w:p>
        </w:tc>
        <w:tc>
          <w:tcPr>
            <w:tcW w:type="dxa" w:w="1399"/>
            <w:tcBorders>
              <w:top w:val="single" w:sz="4" w:color="BDC3C7"/>
              <w:bottom w:val="single" w:sz="4" w:color="BDC3C7"/>
              <w:left w:val="single" w:sz="4" w:color="BDC3C7"/>
              <w:right w:val="single" w:sz="4" w:color="BDC3C7"/>
            </w:tcBorders>
          </w:tcPr>
          <w:p>
            <w:r>
              <w:t>↑0 / ↓4</w:t>
            </w:r>
          </w:p>
        </w:tc>
      </w:tr>
    </w:tbl>
    <w:p>
      <w:r>
        <w:t>Revenue consensus: Q $0.22B (+19.5%)  |  Q+1 $0.22B (+16.5%)  |  FY $0.89B (+17.7%)  |  FY+1 $0.93B (+4.4%)</w:t>
      </w:r>
    </w:p>
    <w:p>
      <w:r>
        <w:t>Price targets: Mean $38.75  |  Median $41.50  |  Range $27.00–$45.00  |  Current $44.67 (-13.3% to mean)</w:t>
      </w:r>
    </w:p>
    <w:p>
      <w:r>
        <w:t>Analyst ratings (n=5): Strong Buy 2 · Buy 2 · Hold 1 · Sell 0 · Strong Sell 0  ·  80% bullish</w:t>
      </w:r>
    </w:p>
    <w:p>
      <w:r>
        <w:t>Next earnings: 2026-07-28 (85d out)  ·  EPS $0.37 ($0.35–$0.38)  ·  Rev $0.22B</w:t>
      </w:r>
    </w:p>
    <w:p>
      <w:pPr>
        <w:pStyle w:val="SectionHeading"/>
      </w:pPr>
      <w:r>
        <w:t>1. Research Synthesis</w:t>
      </w:r>
    </w:p>
    <w:p>
      <w:r>
        <w:t>Bandwidth delivered a strong Q1 2026 with $209M revenue (+20% YoY) and $26M adjusted EBITDA, beating expectations and prompting management to raise full-year EPS guidance to $1.77-$1.83 from the prior $1.66-$1.74 range. The beat reflects accelerating AI voice adoption, with CEO David Morken declaring 'we are no longer just enabling AI. We are orchestrating it' -- a notable evolution from Q3 2025's more cautious 'promise of AI' language. The Salesforce AgentForce Contact Center partnership announcement represents significant enterprise validation, with Salesforce selecting Bandwidth as critical infrastructure for their AI-first platform that fundamentally re-architects the contact center.</w:t>
      </w:r>
    </w:p>
    <w:p>
      <w:r>
        <w:t>The company's positioning around network ownership as an AI moat appears increasingly credible. Management argues that voice AI requires 'ultra-low latency, carrier-grade reliability, and deep regulatory control capabilities that only a company that owns the underlying network can provide' -- advantages 'impossible for virtual providers to replicate.' This thesis is being tested in production, with voice solutions revenue growing 12% YoY to $121M in Q1, driven by what CFO Daryl Raiford calls 'the tailwind of AI-influenced voice usage.' Notably, management introduced new language around revenue per interaction versus per minute pricing, suggesting the Maestro platform captures more value as AI interactions become more complex.</w:t>
      </w:r>
    </w:p>
    <w:p>
      <w:pPr>
        <w:pStyle w:val="PullQuote"/>
      </w:pPr>
      <w:r>
        <w:t>Counter: the analyst claims No clear edge identified - estimate close to consensus range — but This admission undermines the entire investment case. If there's no informational edge and the analyst is paying consensus multiples for consensus growth, this is just a momentum bet on an already-discovered story. The 'AI infrastructure' positioning appears to be management narrative rather than demonstrable competitive advantage.</w:t>
      </w:r>
    </w:p>
    <w:p>
      <w:r>
        <w:t>The financial trajectory supports management's confidence. Non-GAAP gross margins improved 50 basis points to 59.5% in Q1, approaching the 60% target for 2026, while the company remains on track for 20% EBITDA margins. Average annual customer revenue reached a record $232,000 at end-2025, up from $171,000 three years ago, reflecting the mission-critical nature of the platform. Management closed a record number of million-dollar-plus deals in both Q4 2025 and Q3 2025, with enterprise voice revenue growing 14% YoY to $13M in Q1 as customers scale on Maestro.</w:t>
      </w:r>
    </w:p>
    <w:p>
      <w:r>
        <w:t>However, several factors temper the bull case. The company's 2026 revenue guidance implies significant deceleration from Q1's 20% growth rate, with full-year growth expectations around 17.7% at consensus midpoint of $887M. Management's historical pattern of conservative guidance followed by raises (EBITDA guidance raised three times in 2025) suggests potential upside, but the magnitude of Q2 guidance ($215M revenue midpoint) implies more modest sequential growth. Net retention of 102% in Q1, while stable, shows limited expansion within the existing base compared to high-growth SaaS peers.</w:t>
      </w:r>
    </w:p>
    <w:p>
      <w:r>
        <w:t>The competitive moat claims, while compelling in theory, lack specific proof points against named competitors. Management contrasts their owned network against 'virtual providers' and 'thin application layer resellers' but provides limited quantitative evidence of performance or economic advantages. The AI voice thesis, while supported by customer wins like Salesforce, remains early-stage with enterprise voice representing only 6% of total revenue. Political campaign messaging revenue, which provided cyclical tailwinds in prior election years, creates comparison challenges and adds volatility to the base business trajectory.</w:t>
      </w:r>
    </w:p>
    <w:p>
      <w:r>
        <w:t>Overall, Bandwidth appears well-positioned for continued steady growth with AI providing incremental acceleration, but the transformational AI thesis remains unproven at scale. The Q1 beat-and-raise pattern suggests management maintains conservative guidance practices, potentially setting up for continued modest upside through 2026, though the magnitude of outperformance may moderate as comparisons become more challenging.</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$0.37</w:t>
            </w:r>
          </w:p>
        </w:tc>
        <w:tc>
          <w:tcPr>
            <w:tcW w:type="dxa" w:w="3264"/>
            <w:tcBorders>
              <w:top w:val="single" w:sz="4" w:color="BDC3C7"/>
              <w:bottom w:val="single" w:sz="4" w:color="BDC3C7"/>
              <w:left w:val="single" w:sz="4" w:color="BDC3C7"/>
              <w:right w:val="single" w:sz="4" w:color="BDC3C7"/>
            </w:tcBorders>
          </w:tcPr>
          <w:p>
            <w:r>
              <w:t>$215M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$0.45</w:t>
            </w:r>
          </w:p>
        </w:tc>
        <w:tc>
          <w:tcPr>
            <w:tcW w:type="dxa" w:w="3264"/>
            <w:tcBorders>
              <w:top w:val="single" w:sz="4" w:color="BDC3C7"/>
              <w:bottom w:val="single" w:sz="4" w:color="BDC3C7"/>
              <w:left w:val="single" w:sz="4" w:color="BDC3C7"/>
              <w:right w:val="single" w:sz="4" w:color="BDC3C7"/>
            </w:tcBorders>
          </w:tcPr>
          <w:p>
            <w:r>
              <w:t>$224M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$1.80</w:t>
            </w:r>
          </w:p>
        </w:tc>
        <w:tc>
          <w:tcPr>
            <w:tcW w:type="dxa" w:w="3264"/>
            <w:tcBorders>
              <w:top w:val="single" w:sz="4" w:color="BDC3C7"/>
              <w:bottom w:val="single" w:sz="4" w:color="BDC3C7"/>
              <w:left w:val="single" w:sz="4" w:color="BDC3C7"/>
              <w:right w:val="single" w:sz="4" w:color="BDC3C7"/>
            </w:tcBorders>
          </w:tcPr>
          <w:p>
            <w:r>
              <w:t>$887M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$2.19</w:t>
            </w:r>
          </w:p>
        </w:tc>
        <w:tc>
          <w:tcPr>
            <w:tcW w:type="dxa" w:w="3264"/>
            <w:tcBorders>
              <w:top w:val="single" w:sz="4" w:color="BDC3C7"/>
              <w:bottom w:val="single" w:sz="4" w:color="BDC3C7"/>
              <w:left w:val="single" w:sz="4" w:color="BDC3C7"/>
              <w:right w:val="single" w:sz="4" w:color="BDC3C7"/>
            </w:tcBorders>
          </w:tcPr>
          <w:p>
            <w:r>
              <w:t>$927M</w:t>
            </w:r>
          </w:p>
        </w:tc>
      </w:tr>
    </w:tbl>
    <w:p>
      <w:pPr>
        <w:pStyle w:val="SubHeading"/>
      </w:pPr>
      <w:r>
        <w:t>Management guidance:</w:t>
      </w:r>
    </w:p>
    <w:p>
      <w:pPr>
        <w:pStyle w:val="ListBullet"/>
      </w:pPr>
      <w:r>
        <w:t>EPS (FY2026): $1.77 and $1.83  — Q1 2026, call, CFO</w:t>
      </w:r>
    </w:p>
    <w:p>
      <w:pPr>
        <w:pStyle w:val="ListBullet"/>
      </w:pPr>
      <w:r>
        <w:t>Adj. EBITDA (Q2 2026): $24 million and $27 million  — Q1 2026, call, CFO</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total_revenue_growth</w:t>
            </w:r>
          </w:p>
        </w:tc>
        <w:tc>
          <w:tcPr>
            <w:tcW w:type="dxa" w:w="1958"/>
            <w:tcBorders>
              <w:top w:val="single" w:sz="4" w:color="BDC3C7"/>
              <w:bottom w:val="single" w:sz="4" w:color="BDC3C7"/>
              <w:left w:val="single" w:sz="4" w:color="BDC3C7"/>
              <w:right w:val="single" w:sz="4" w:color="BDC3C7"/>
            </w:tcBorders>
          </w:tcPr>
          <w:p>
            <w:r>
              <w:rPr>
                <w:b/>
              </w:rPr>
              <w:t>+15.00%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fy26_revenue_growth</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0.65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raised FY26 guidance implying revenue growth acceleration from Q1's strong performance. In the Q1 2026 call, CEO stated 'we are raising our full year outlook' after record Q1 revenue of $209M (+20% YoY). Voice  [auto-downgraded: basis contains numbers not found in corpus: 17.7%, 17.5%, $887M]</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total_revenue_growth.fy26_revenue_growth: 17.5 → 15.0 — AI voice adoption proves slower than expected, with enterprise voice remaining subscale and competitive pressure from virtual providers limiting pricing power despite network ownership claims.</w:t>
      </w:r>
    </w:p>
    <w:p>
      <w:pPr>
        <w:pStyle w:val="PullQuote"/>
      </w:pPr>
      <w:r>
        <w:t>Counter: the analyst claims AI voice adoption will drive sustained revenue acceleration — but The AI voice thesis lacks concrete evidence. No customer wins, revenue contribution metrics, or differentiated AI capabilities discussed in recent transcripts. Management raised EPS guidance but not revenue guidance, suggesting margin expansion rather than demand acceleration is driving results.</w:t>
      </w:r>
    </w:p>
    <w:p>
      <w:pPr>
        <w:pStyle w:val="SectionHeading"/>
      </w:pPr>
      <w:r>
        <w:t>3. Consensus Gap &amp; Valuation</w:t>
      </w:r>
    </w:p>
    <w:p>
      <w:r>
        <w:t>Our EPS: $1.77  =  baseline $1.77  +  Σ claim impacts $+0.00 (1.5% below consensus $1.80)</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guidance EPS midpoint</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$1.77</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$1.77</w:t>
            </w:r>
          </w:p>
        </w:tc>
      </w:tr>
    </w:tbl>
    <w:p>
      <w:pPr>
        <w:pStyle w:val="PullQuote"/>
      </w:pPr>
      <w:r>
        <w:t xml:space="preserve">  ⚠ No edge claims; our EPS matches baseline (consensus).</w:t>
      </w:r>
    </w:p>
    <w:p>
      <w:r>
        <w:t>Our estimate is $0.03 (1.5%) below consensus $1.80. No single driver within plausible bounds can close the gap to consensus when other drivers are held at our values; the EPS variant is diffuse (top magnitude: total_revenue_growth.fy26_revenue_growth). Variant appears within market noise -- may already be priced in. Next catalyst: Next quarterly earnings report (2026-07-28 (85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total_revenue_growth.fy26_revenue_growth</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0.60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(-1.5%) within implied move noise (6.1%)</w:t>
      </w:r>
    </w:p>
    <w:p>
      <w:r>
        <w:t>Edge verdict: NO_CLEAR_EDGE (score 0.011).</w:t>
      </w:r>
    </w:p>
    <w:p>
      <w:pPr>
        <w:pStyle w:val="PullQuote"/>
      </w:pPr>
      <w:r>
        <w:t>Counter: the analyst claims Bandwidth deserves premium valuation for network ownership moat — but Network ownership may be a liability in the cloud era. RNG and EGHT trade at 7-10x forward P/E while growing, suggesting the market doesn't value infrastructure assets. TWLO's 33.6x multiple comes with 14.8% growth - similar to BAND's assumed 17.5% - but without the capital intensity drag.</w:t>
      </w:r>
    </w:p>
    <w:p>
      <w:pPr>
        <w:pStyle w:val="SectionHeading"/>
      </w:pPr>
      <w:r>
        <w:t>4. Catalysts</w:t>
      </w:r>
    </w:p>
    <w:p>
      <w:pPr>
        <w:pStyle w:val="ListBullet"/>
      </w:pPr>
      <w:r>
        <w:t>Next quarterly earnings report (2026-07-28 (85 days)) — resolves revenue + margins + guidance; confirms or challenges</w:t>
      </w:r>
    </w:p>
    <w:p>
      <w:pPr>
        <w:pStyle w:val="ListBullet"/>
      </w:pPr>
      <w:r>
        <w:t>Resolution: AI voice adoption will drive sustained revenue acceleration (Resolves at earnings (2026-07-28)) — resolves total_revenue_growth;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Specific competitive win rates against named virtual providers (Unknown timing) — resolves multiple; resolves uncertainty</w:t>
      </w:r>
    </w:p>
    <w:p>
      <w:pPr>
        <w:pStyle w:val="ListBullet"/>
      </w:pPr>
      <w:r>
        <w:t>Quantified revenue impact from Salesforce AgentForce partnership (Unknown timing) — resolves multiple; resolves uncertainty</w:t>
      </w:r>
    </w:p>
    <w:p>
      <w:pPr>
        <w:pStyle w:val="SectionHeading"/>
      </w:pPr>
      <w:r>
        <w:t>5. Risks, Blind Spots &amp; Kill Criteria</w:t>
      </w:r>
    </w:p>
    <w:p>
      <w:pPr>
        <w:pStyle w:val="SubHeading"/>
      </w:pPr>
      <w:r>
        <w:t>Top risks:</w:t>
      </w:r>
    </w:p>
    <w:p>
      <w:pPr>
        <w:pStyle w:val="ListBullet"/>
      </w:pPr>
      <w:r>
        <w:t>AI voice adoption will drive sustained acceleration in voice revenue growth — counter: Peer comp table shows BAND's CPaaS peers growing revenue at 2.3%-14.8% range, with BAND's assumed 17.5% FY26 growth at the high end. No transcript evidence of material AI voice revenue contribution or customer wins. Sources: peer_comps, transcripts [serious]</w:t>
      </w:r>
    </w:p>
    <w:p>
      <w:pPr>
        <w:pStyle w:val="ListBullet"/>
      </w:pPr>
      <w:r>
        <w:t>AI voice adoption will drive sustained revenue acceleration — counter: Enterprise voice revenue is only $13M (~6% of total) despite 14% growth, and net retention of 102% shows limited expansion within existing base. Management's Q2 revenue guidance implies sequential deceleration from Q1's momentum. [moderate]</w:t>
      </w:r>
    </w:p>
    <w:p>
      <w:pPr>
        <w:pStyle w:val="ListBullet"/>
      </w:pPr>
      <w:r>
        <w:t>Analyst blind spot — counter: Macro headwinds to enterprise communications spend - unemployment up 2.4% YoY to 4.3%, consumer sentiment down 6.5% YoY, which typically precedes B2B spend cuts [moderate]</w:t>
      </w:r>
    </w:p>
    <w:p>
      <w:pPr>
        <w:pStyle w:val="SubHeading"/>
      </w:pPr>
      <w:r>
        <w:t>Blind spots (auditor-independent):</w:t>
      </w:r>
    </w:p>
    <w:p>
      <w:pPr>
        <w:pStyle w:val="ListBullet"/>
      </w:pPr>
      <w:r>
        <w:t>Macro headwinds to enterprise communications spend - unemployment up 2.4% YoY to 4.3%, consumer sentiment down 6.5% YoY, which typically precedes B2B spend cuts</w:t>
      </w:r>
    </w:p>
    <w:p>
      <w:pPr>
        <w:pStyle w:val="ListBullet"/>
      </w:pPr>
      <w:r>
        <w:t>Competitive positioning unclear - TWLO trading at 33.6x forward P/E vs BAND's implied premium valuation, but TWLO growing similar 14.8% vs BAND's assumed 17.5%</w:t>
      </w:r>
    </w:p>
    <w:p>
      <w:pPr>
        <w:pStyle w:val="ListBullet"/>
      </w:pPr>
      <w:r>
        <w:t>Customer concentration risk - no discussion of top customer exposure or churn patterns in available transcripts</w:t>
      </w:r>
    </w:p>
    <w:p>
      <w:pPr>
        <w:pStyle w:val="KillCriteria"/>
      </w:pPr>
      <w:r>
        <w:t>What would change our mind: Unable to close gap: Specific competitive win rates against named virtual providers</w:t>
      </w:r>
    </w:p>
    <w:p>
      <w:pPr>
        <w:pStyle w:val="SectionHeading"/>
      </w:pPr>
      <w:r>
        <w:t>Appendix</w:t>
      </w:r>
    </w:p>
    <w:p>
      <w:pPr>
        <w:pStyle w:val="SubHeading"/>
      </w:pPr>
      <w:r>
        <w:t>Business context:</w:t>
      </w:r>
    </w:p>
    <w:p>
      <w:r>
        <w:t>Bandwidth operates a global communications cloud platform providing voice and messaging services to enterprises, with network ownership as a key differentiator. The company is positioning itself as essential AI infrastructure through its Maestro orchestration platform, which enables voice AI applications requiring ultra-low latency and carrier-grade reliability.</w:t>
      </w:r>
    </w:p>
    <w:p>
      <w:pPr>
        <w:pStyle w:val="SubHeading"/>
      </w:pPr>
      <w:r>
        <w:t>Evidence gaps (research TODO):</w:t>
      </w:r>
    </w:p>
    <w:p>
      <w:pPr>
        <w:pStyle w:val="ListBullet"/>
      </w:pPr>
      <w:r>
        <w:t>Specific competitive win rates against named virtual providers</w:t>
      </w:r>
    </w:p>
    <w:p>
      <w:pPr>
        <w:pStyle w:val="ListBullet"/>
      </w:pPr>
      <w:r>
        <w:t>Quantified revenue impact from Salesforce AgentForce partnership</w:t>
      </w:r>
    </w:p>
    <w:p>
      <w:pPr>
        <w:pStyle w:val="ListBullet"/>
      </w:pPr>
      <w:r>
        <w:t>Breakdown of per-interaction vs per-minute revenue mix</w:t>
      </w:r>
    </w:p>
    <w:p>
      <w:pPr>
        <w:pStyle w:val="ListBullet"/>
      </w:pPr>
      <w:r>
        <w:t>Political campaign messaging revenue expectations for 2026 election cycle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