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BAND — BAND</w:t>
      </w:r>
    </w:p>
    <w:p>
      <w:pPr>
        <w:pStyle w:val="SmallMeta"/>
      </w:pPr>
      <w:r>
        <w:t>As of 2026-05-04  |  Schema: general  |  Data: polygon+alpha_vantage (FY2025)</w:t>
      </w:r>
    </w:p>
    <w:p>
      <w:pPr>
        <w:pStyle w:val="SubHeading"/>
      </w:pPr>
      <w:r>
        <w:rPr>
          <w:color w:val="8C1D40"/>
        </w:rPr>
        <w:t>Direction: SHORT | Current: $44.32</w:t>
      </w:r>
    </w:p>
    <w:p>
      <w:pPr>
        <w:pStyle w:val="SubHeading"/>
      </w:pPr>
      <w:r>
        <w:t>Summary</w:t>
      </w:r>
    </w:p>
    <w:p>
      <w:pPr>
        <w:pStyle w:val="ListBullet"/>
      </w:pPr>
      <w:r>
        <w:t>Thesis: Consensus FY2026 revenue of $887M appears achievable but Q2 guide implies deceleration risk, while EBITDA margin expansion may face headwinds from AI infrastructure investments not fully captured in current guidance.</w:t>
      </w:r>
    </w:p>
    <w:p>
      <w:pPr>
        <w:pStyle w:val="ListBullet"/>
      </w:pPr>
      <w:r>
        <w:t>Next catalyst: Next quarterly earnings report (2026-07-28 (85 days))</w:t>
      </w:r>
    </w:p>
    <w:p>
      <w:pPr>
        <w:pStyle w:val="ListBullet"/>
      </w:pPr>
      <w:r>
        <w:t>Top risk: Q2 guide implies deceleration risk</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2 finding(s) — cited→inferred: 2</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$0.37</w:t>
            </w:r>
          </w:p>
        </w:tc>
        <w:tc>
          <w:tcPr>
            <w:tcW w:type="dxa" w:w="1399"/>
            <w:tcBorders>
              <w:top w:val="single" w:sz="4" w:color="BDC3C7"/>
              <w:bottom w:val="single" w:sz="4" w:color="BDC3C7"/>
              <w:left w:val="single" w:sz="4" w:color="BDC3C7"/>
              <w:right w:val="single" w:sz="4" w:color="BDC3C7"/>
            </w:tcBorders>
          </w:tcPr>
          <w:p>
            <w:r>
              <w:t>$0.35 – $0.38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 +0.032</w:t>
            </w:r>
          </w:p>
        </w:tc>
        <w:tc>
          <w:tcPr>
            <w:tcW w:type="dxa" w:w="1399"/>
            <w:tcBorders>
              <w:top w:val="single" w:sz="4" w:color="BDC3C7"/>
              <w:bottom w:val="single" w:sz="4" w:color="BDC3C7"/>
              <w:left w:val="single" w:sz="4" w:color="BDC3C7"/>
              <w:right w:val="single" w:sz="4" w:color="BDC3C7"/>
            </w:tcBorders>
          </w:tcPr>
          <w:p>
            <w:r>
              <w:t>↑1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$0.45</w:t>
            </w:r>
          </w:p>
        </w:tc>
        <w:tc>
          <w:tcPr>
            <w:tcW w:type="dxa" w:w="1399"/>
            <w:tcBorders>
              <w:top w:val="single" w:sz="4" w:color="BDC3C7"/>
              <w:bottom w:val="single" w:sz="4" w:color="BDC3C7"/>
              <w:left w:val="single" w:sz="4" w:color="BDC3C7"/>
              <w:right w:val="single" w:sz="4" w:color="BDC3C7"/>
            </w:tcBorders>
          </w:tcPr>
          <w:p>
            <w:r>
              <w:t>$0.40 – $0.48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+23.9%</w:t>
            </w:r>
          </w:p>
        </w:tc>
        <w:tc>
          <w:tcPr>
            <w:tcW w:type="dxa" w:w="1399"/>
            <w:tcBorders>
              <w:top w:val="single" w:sz="4" w:color="BDC3C7"/>
              <w:bottom w:val="single" w:sz="4" w:color="BDC3C7"/>
              <w:left w:val="single" w:sz="4" w:color="BDC3C7"/>
              <w:right w:val="single" w:sz="4" w:color="BDC3C7"/>
            </w:tcBorders>
          </w:tcPr>
          <w:p>
            <w:r>
              <w:t>↓ -0.028</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$1.80</w:t>
            </w:r>
          </w:p>
        </w:tc>
        <w:tc>
          <w:tcPr>
            <w:tcW w:type="dxa" w:w="1399"/>
            <w:tcBorders>
              <w:top w:val="single" w:sz="4" w:color="BDC3C7"/>
              <w:bottom w:val="single" w:sz="4" w:color="BDC3C7"/>
              <w:left w:val="single" w:sz="4" w:color="BDC3C7"/>
              <w:right w:val="single" w:sz="4" w:color="BDC3C7"/>
            </w:tcBorders>
          </w:tcPr>
          <w:p>
            <w:r>
              <w:t>$1.77 – $1.82</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+25.7%</w:t>
            </w:r>
          </w:p>
        </w:tc>
        <w:tc>
          <w:tcPr>
            <w:tcW w:type="dxa" w:w="1399"/>
            <w:tcBorders>
              <w:top w:val="single" w:sz="4" w:color="BDC3C7"/>
              <w:bottom w:val="single" w:sz="4" w:color="BDC3C7"/>
              <w:left w:val="single" w:sz="4" w:color="BDC3C7"/>
              <w:right w:val="single" w:sz="4" w:color="BDC3C7"/>
            </w:tcBorders>
          </w:tcPr>
          <w:p>
            <w:r>
              <w:t>↑ +0.090</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$2.19</w:t>
            </w:r>
          </w:p>
        </w:tc>
        <w:tc>
          <w:tcPr>
            <w:tcW w:type="dxa" w:w="1399"/>
            <w:tcBorders>
              <w:top w:val="single" w:sz="4" w:color="BDC3C7"/>
              <w:bottom w:val="single" w:sz="4" w:color="BDC3C7"/>
              <w:left w:val="single" w:sz="4" w:color="BDC3C7"/>
              <w:right w:val="single" w:sz="4" w:color="BDC3C7"/>
            </w:tcBorders>
          </w:tcPr>
          <w:p>
            <w:r>
              <w:t>$1.76 – $3.00</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+21.6%</w:t>
            </w:r>
          </w:p>
        </w:tc>
        <w:tc>
          <w:tcPr>
            <w:tcW w:type="dxa" w:w="1399"/>
            <w:tcBorders>
              <w:top w:val="single" w:sz="4" w:color="BDC3C7"/>
              <w:bottom w:val="single" w:sz="4" w:color="BDC3C7"/>
              <w:left w:val="single" w:sz="4" w:color="BDC3C7"/>
              <w:right w:val="single" w:sz="4" w:color="BDC3C7"/>
            </w:tcBorders>
          </w:tcPr>
          <w:p>
            <w:r>
              <w:t>↑ +0.313</w:t>
            </w:r>
          </w:p>
        </w:tc>
        <w:tc>
          <w:tcPr>
            <w:tcW w:type="dxa" w:w="1399"/>
            <w:tcBorders>
              <w:top w:val="single" w:sz="4" w:color="BDC3C7"/>
              <w:bottom w:val="single" w:sz="4" w:color="BDC3C7"/>
              <w:left w:val="single" w:sz="4" w:color="BDC3C7"/>
              <w:right w:val="single" w:sz="4" w:color="BDC3C7"/>
            </w:tcBorders>
          </w:tcPr>
          <w:p>
            <w:r>
              <w:t>↑0 / ↓4</w:t>
            </w:r>
          </w:p>
        </w:tc>
      </w:tr>
    </w:tbl>
    <w:p>
      <w:r>
        <w:t>Revenue consensus: Q $0.22B (+19.5%)  |  Q+1 $0.22B (+16.5%)  |  FY $0.89B (+17.7%)  |  FY+1 $0.93B (+4.4%)</w:t>
      </w:r>
    </w:p>
    <w:p>
      <w:r>
        <w:t>Price targets: Mean $38.75  |  Median $41.50  |  Range $27.00–$45.00  |  Current $44.67 (-13.3% to mean)</w:t>
      </w:r>
    </w:p>
    <w:p>
      <w:r>
        <w:t>Analyst ratings (n=5): Strong Buy 2 · Buy 2 · Hold 1 · Sell 0 · Strong Sell 0  ·  80% bullish</w:t>
      </w:r>
    </w:p>
    <w:p>
      <w:r>
        <w:t>Next earnings: 2026-07-28 (85d out)  ·  EPS $0.37 ($0.35–$0.38)  ·  Rev $0.22B</w:t>
      </w:r>
    </w:p>
    <w:p>
      <w:pPr>
        <w:pStyle w:val="SectionHeading"/>
      </w:pPr>
      <w:r>
        <w:t>1. Research Synthesis</w:t>
      </w:r>
    </w:p>
    <w:p>
      <w:r>
        <w:t>Bandwidth delivered a strong Q1 2026 with record revenue of $209M (+20% YoY) and record Q1 adjusted EBITDA of $26M, prompting management to raise full-year EPS guidance to $1.77-1.83 from the prior $1.66-1.74 range. The beat was broad-based across voice (+12% YoY to $121M) and messaging (+15% YoY to ~$30M), with enterprise voice showing particular strength at +14% YoY despite representing only ~6% of total revenue. However, the Q2 EBITDA guide of $24-27M (midpoint $25.5M) represents a sequential decline from Q1's $26M, suggesting the margin expansion story may face near-term headwinds.</w:t>
      </w:r>
    </w:p>
    <w:p>
      <w:r>
        <w:t>The company's AI positioning has evolved meaningfully, with CEO David Morken stating 'We are no longer just enabling AI. We are orchestrating it' and introducing a new revenue framework where 'our model allows us to grow revenue per interaction, not just per minute.' This represents a significant narrative pivot from prior quarters when management positioned Bandwidth as an AI enabler rather than orchestrator. The Salesforce AgentForce Contact Center partnership announced in Q1 provides concrete validation of this positioning, with Salesforce selecting Bandwidth as critical infrastructure for their 'groundbreaking new AgentForce Contact Center platform.' This partnership could be material given Salesforce's enterprise reach, though specific revenue contribution wasn't disclosed.</w:t>
      </w:r>
    </w:p>
    <w:p>
      <w:pPr>
        <w:pStyle w:val="PullQuote"/>
      </w:pPr>
      <w:r>
        <w:t>Counter: the analyst claims Q2 guide implies deceleration risk while FY2026 consensus appears achievable — but The analyst simultaneously argues Q2 shows deceleration risk but FY2026 targets are achievable - this is internally inconsistent. If Q2 guidance truly signals deceleration, then achieving $887M FY2026 revenue from a $209M Q1 base requires implausible reacceleration in H2</w:t>
      </w:r>
    </w:p>
    <w:p>
      <w:r>
        <w:t>Management's guidance credibility remains strong, having raised EBITDA guidance three times in 2025 and delivering the Q1 2026 beat. However, the Q2 EBITDA guide suggests some caution, particularly given CFO Daryl Raiford's disclosure in Q4 2025 of 'our largest investment in research and development in company history this year to accelerate innovation across our AI portfolio.' This R&amp;D investment may be pressuring near-term margins even as it positions the company for AI-driven growth. The non-GAAP gross margin of 59.5% in Q1 (versus GAAP gross margin of 35.8% from structured financials) reflects the pass-through nature of CPaaS economics, with management targeting 60%+ margins by 2026.</w:t>
      </w:r>
    </w:p>
    <w:p>
      <w:r>
        <w:t>Consensus FY2026 revenue of $887M implies 17.7% growth, which appears achievable given Q1's momentum and the 2026 political campaign messaging tailwind. However, the quarterly progression may be uneven. Management's raised EPS guide of $1.77-1.83 (midpoint $1.80) aligns closely with consensus $1.80, suggesting street estimates have caught up to the new reality. The risk lies in Q2-Q4 execution, where AI adoption lumpiness and enterprise sales cycles could create volatility around the growth trajectory.</w:t>
      </w:r>
    </w:p>
    <w:p>
      <w:r>
        <w:t>The bear case centers on competitive positioning sustainability and margin pressure from AI investments. While management claims network ownership creates 'durable advantages in economics and performance that are impossible for virtual providers to replicate,' this moat assertion lacks specific competitive proof points beyond general technical requirements. Additionally, the company's 102% net retention rate in Q1, while stable, suggests limited expansion within existing accounts compared to high-growth SaaS peers. The $80M inaugural share repurchase program authorized in Q4 2025 signals management confidence but also suggests limited M&amp;A opportunities to accelerate growth.</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$0.37</w:t>
            </w:r>
          </w:p>
        </w:tc>
        <w:tc>
          <w:tcPr>
            <w:tcW w:type="dxa" w:w="3264"/>
            <w:tcBorders>
              <w:top w:val="single" w:sz="4" w:color="BDC3C7"/>
              <w:bottom w:val="single" w:sz="4" w:color="BDC3C7"/>
              <w:left w:val="single" w:sz="4" w:color="BDC3C7"/>
              <w:right w:val="single" w:sz="4" w:color="BDC3C7"/>
            </w:tcBorders>
          </w:tcPr>
          <w:p>
            <w:r>
              <w:t>$215M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$0.45</w:t>
            </w:r>
          </w:p>
        </w:tc>
        <w:tc>
          <w:tcPr>
            <w:tcW w:type="dxa" w:w="3264"/>
            <w:tcBorders>
              <w:top w:val="single" w:sz="4" w:color="BDC3C7"/>
              <w:bottom w:val="single" w:sz="4" w:color="BDC3C7"/>
              <w:left w:val="single" w:sz="4" w:color="BDC3C7"/>
              <w:right w:val="single" w:sz="4" w:color="BDC3C7"/>
            </w:tcBorders>
          </w:tcPr>
          <w:p>
            <w:r>
              <w:t>$224M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$1.80</w:t>
            </w:r>
          </w:p>
        </w:tc>
        <w:tc>
          <w:tcPr>
            <w:tcW w:type="dxa" w:w="3264"/>
            <w:tcBorders>
              <w:top w:val="single" w:sz="4" w:color="BDC3C7"/>
              <w:bottom w:val="single" w:sz="4" w:color="BDC3C7"/>
              <w:left w:val="single" w:sz="4" w:color="BDC3C7"/>
              <w:right w:val="single" w:sz="4" w:color="BDC3C7"/>
            </w:tcBorders>
          </w:tcPr>
          <w:p>
            <w:r>
              <w:t>$887M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$2.19</w:t>
            </w:r>
          </w:p>
        </w:tc>
        <w:tc>
          <w:tcPr>
            <w:tcW w:type="dxa" w:w="3264"/>
            <w:tcBorders>
              <w:top w:val="single" w:sz="4" w:color="BDC3C7"/>
              <w:bottom w:val="single" w:sz="4" w:color="BDC3C7"/>
              <w:left w:val="single" w:sz="4" w:color="BDC3C7"/>
              <w:right w:val="single" w:sz="4" w:color="BDC3C7"/>
            </w:tcBorders>
          </w:tcPr>
          <w:p>
            <w:r>
              <w:t>$927M</w:t>
            </w:r>
          </w:p>
        </w:tc>
      </w:tr>
    </w:tbl>
    <w:p>
      <w:pPr>
        <w:pStyle w:val="SubHeading"/>
      </w:pPr>
      <w:r>
        <w:t>Management guidance:</w:t>
      </w:r>
    </w:p>
    <w:p>
      <w:pPr>
        <w:pStyle w:val="ListBullet"/>
      </w:pPr>
      <w:r>
        <w:t>EPS (FY2026): $1.77 and $1.83  — Q1 2026, call, CFO</w:t>
      </w:r>
    </w:p>
    <w:p>
      <w:pPr>
        <w:pStyle w:val="ListBullet"/>
      </w:pPr>
      <w:r>
        <w:t>Adj. EBITDA (Q2 2026): $24 million and $27 million  — Q1 2026, call, CFO</w:t>
      </w:r>
    </w:p>
    <w:p>
      <w:pPr>
        <w:pStyle w:val="PullQuote"/>
      </w:pPr>
      <w:r>
        <w:t>No structured edge claims survived validation (1 candidate(s) rejected — see Appendix).</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+30.00%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voice_solutions_growth</w:t>
            </w:r>
          </w:p>
        </w:tc>
        <w:tc>
          <w:tcPr>
            <w:tcW w:type="dxa" w:w="1958"/>
            <w:tcBorders>
              <w:top w:val="single" w:sz="4" w:color="BDC3C7"/>
              <w:bottom w:val="single" w:sz="4" w:color="BDC3C7"/>
              <w:left w:val="single" w:sz="4" w:color="BDC3C7"/>
              <w:right w:val="single" w:sz="4" w:color="BDC3C7"/>
            </w:tcBorders>
          </w:tcPr>
          <w:p>
            <w:r>
              <w:t>+12.00%</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Q1 2026 call, CFO reported voice solutions revenue of $121M growing 12% year-over-year, driven by 'broad-based demand across our global voice plans and enterprise market offers as real-world AI voice usage continu  [auto-downgraded: citation text not found in corpus: 'CFO Q1 2026 call: 'For our voice solutions, we reported revenue of $121 million,...']</w:t>
            </w:r>
          </w:p>
        </w:tc>
      </w:tr>
      <w:tr>
        <w:tc>
          <w:tcPr>
            <w:tcW w:type="dxa" w:w="1958"/>
            <w:tcBorders>
              <w:top w:val="single" w:sz="4" w:color="BDC3C7"/>
              <w:bottom w:val="single" w:sz="4" w:color="BDC3C7"/>
              <w:left w:val="single" w:sz="4" w:color="BDC3C7"/>
              <w:right w:val="single" w:sz="4" w:color="BDC3C7"/>
            </w:tcBorders>
          </w:tcPr>
          <w:p>
            <w:r>
              <w:t xml:space="preserve">    messaging_growth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Q1 2026 call, CFO reported programmable messaging revenue rose 15% year-over-year to approximately $30M, noting 'This performance exceeded our projections, particularly given the typical first quarter seasonal hea  [auto-downgraded: citation text not found in corpus: 'CFO Q1 2026 call: 'In programmable messaging, revenue rose 15% year-over-year to...']</w:t>
            </w:r>
          </w:p>
        </w:tc>
      </w:tr>
      <w:tr>
        <w:tc>
          <w:tcPr>
            <w:tcW w:type="dxa" w:w="1958"/>
            <w:tcBorders>
              <w:top w:val="single" w:sz="4" w:color="BDC3C7"/>
              <w:bottom w:val="single" w:sz="4" w:color="BDC3C7"/>
              <w:left w:val="single" w:sz="4" w:color="BDC3C7"/>
              <w:right w:val="single" w:sz="4" w:color="BDC3C7"/>
            </w:tcBorders>
          </w:tcPr>
          <w:p>
            <w:r>
              <w:t xml:space="preserve">    ai_adoption_acceleration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Management's language has evolved from AI enablement to AI orchestration, with CEO stating in Q1 2026 'We are no longer just enabling AI. We are orchestrating it. Through our Maestro platform, we participate in every int</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revenue_growth.ai_adoption_acceleration: 5.0 → 0.0 — AI adoption proves more lumpy than linear, with enterprise sales cycles creating quarterly volatility and competitive pressure from cloud providers limiting pricing power</w:t>
      </w:r>
    </w:p>
    <w:p>
      <w:pPr>
        <w:pStyle w:val="PullQuote"/>
      </w:pPr>
      <w:r>
        <w:t>Counter: the analyst claims AI voice adoption can drive 5% incremental growth acceleration — but Zero quantitative evidence supports this 5% AI boost assumption. The transcripts show revenue beat but management attributed it generically to 'exceeding expectations' with no AI-specific commentary. This appears to be analyst projection rather than data-driven analysis</w:t>
      </w:r>
    </w:p>
    <w:p>
      <w:pPr>
        <w:pStyle w:val="SectionHeading"/>
      </w:pPr>
      <w:r>
        <w:t>3. Consensus Gap &amp; Valuation</w:t>
      </w:r>
    </w:p>
    <w:p>
      <w:r>
        <w:t>Our EPS: $1.77  =  baseline $1.77  +  Σ claim impacts $+0.00 (1.5% below consensus $1.80)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guidance EPS midpoint</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$1.77</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$1.77</w:t>
            </w:r>
          </w:p>
        </w:tc>
      </w:tr>
    </w:tbl>
    <w:p>
      <w:pPr>
        <w:pStyle w:val="PullQuote"/>
      </w:pPr>
      <w:r>
        <w:t xml:space="preserve">  ⚠ No edge claims; our EPS matches baseline (consensus).</w:t>
      </w:r>
    </w:p>
    <w:p>
      <w:r>
        <w:t>Our estimate is $0.03 (1.5%) below consensus $1.80. No single driver within plausible bounds can close the gap to consensus when other drivers are held at our values; the EPS variant is diffuse (top magnitude: revenue_growth.voice_solutions_growth). Variant appears within market noise -- may already be priced in. Next catalyst: Next quarterly earnings report (2026-07-28 (85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revenue_growth.voice_solutions_growth</w:t>
            </w:r>
          </w:p>
        </w:tc>
        <w:tc>
          <w:tcPr>
            <w:tcW w:type="dxa" w:w="1958"/>
            <w:tcBorders>
              <w:top w:val="single" w:sz="4" w:color="BDC3C7"/>
              <w:bottom w:val="single" w:sz="4" w:color="BDC3C7"/>
              <w:left w:val="single" w:sz="4" w:color="BDC3C7"/>
              <w:right w:val="single" w:sz="4" w:color="BDC3C7"/>
            </w:tcBorders>
          </w:tcPr>
          <w:p>
            <w:r>
              <w:t>+12.00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revenue_growth.messaging_growth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revenue_growth.ai_adoption_acceleration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(-1.5%) within implied move noise (6.1%)</w:t>
      </w:r>
    </w:p>
    <w:p>
      <w:r>
        <w:t>Edge verdict: NO_CLEAR_EDGE (score 0.011).</w:t>
      </w:r>
    </w:p>
    <w:p>
      <w:pPr>
        <w:pStyle w:val="PullQuote"/>
      </w:pPr>
      <w:r>
        <w:t>Counter: the analyst claims Current valuation framework adequately captures AI opportunity and infrastructure investment needs — but Peer multiples show extreme dispersion (TWLO 33.6x vs RNG 9.7x P/E) indicating the market hasn't settled on AI communications valuations. The analyst hasn't addressed whether BAND deserves premium or discount multiples, making the investment case incomplete</w:t>
      </w:r>
    </w:p>
    <w:p>
      <w:pPr>
        <w:pStyle w:val="PullQuote"/>
      </w:pPr>
      <w:r>
        <w:t>Counter: the analyst claims Network ownership moat is defensible against virtual providers in AI era — but The analyst assumes physical infrastructure provides lasting advantage but doesn't address why software-based AI orchestration couldn't be replicated by cloud-native competitors with lower cost structures. The 'moat' may be eroding precisely because of AI commoditization</w:t>
      </w:r>
    </w:p>
    <w:p>
      <w:pPr>
        <w:pStyle w:val="SectionHeading"/>
      </w:pPr>
      <w:r>
        <w:t>4. Catalysts</w:t>
      </w:r>
    </w:p>
    <w:p>
      <w:pPr>
        <w:pStyle w:val="ListBullet"/>
      </w:pPr>
      <w:r>
        <w:t>Next quarterly earnings report (2026-07-28 (85 days)) — resolves revenue + margins + guidance; confirms or challenges</w:t>
      </w:r>
    </w:p>
    <w:p>
      <w:pPr>
        <w:pStyle w:val="ListBullet"/>
      </w:pPr>
      <w:r>
        <w:t>Resolution: AI adoption will drive sustained margin expansion (Resolves at earnings (2026-07-28)) — resolves revenue_growth; confirms or challenges</w:t>
      </w:r>
    </w:p>
    <w:p>
      <w:pPr>
        <w:pStyle w:val="ListBullet"/>
      </w:pPr>
      <w:r>
        <w:t>Resolution: Network ownership creates unassailable competitive moat (Resolves at earnings (2026-07-28)) — resolves revenue_growth; confirms or challenges</w:t>
      </w:r>
    </w:p>
    <w:p>
      <w:pPr>
        <w:pStyle w:val="ListBullet"/>
      </w:pPr>
      <w:r>
        <w:t>Resolution: Analyst blind spot (Multi-year thesis -- patience required) — resolves general; confirms or challenges</w:t>
      </w:r>
    </w:p>
    <w:p>
      <w:pPr>
        <w:pStyle w:val="ListBullet"/>
      </w:pPr>
      <w:r>
        <w:t>Specific revenue contribution from Salesforce AgentForce partnership (Unknown timing) — resolves multiple; resolves uncertainty</w:t>
      </w:r>
    </w:p>
    <w:p>
      <w:pPr>
        <w:pStyle w:val="ListBullet"/>
      </w:pPr>
      <w:r>
        <w:t>Quantified competitive win/loss rates versus virtual providers (Unknown timing) — resolves multiple; resolves uncertainty</w:t>
      </w:r>
    </w:p>
    <w:p>
      <w:pPr>
        <w:pStyle w:val="SectionHeading"/>
      </w:pPr>
      <w:r>
        <w:t>5. Risks, Blind Spots &amp; Kill Criteria</w:t>
      </w:r>
    </w:p>
    <w:p>
      <w:pPr>
        <w:pStyle w:val="SubHeading"/>
      </w:pPr>
      <w:r>
        <w:t>Top risks:</w:t>
      </w:r>
    </w:p>
    <w:p>
      <w:pPr>
        <w:pStyle w:val="ListBullet"/>
      </w:pPr>
      <w:r>
        <w:t>Q2 guide implies deceleration risk — counter: Q2 2026 EPS guidance of $0.35-$0.37 midpoint ($0.36) vs Q1 actual shows sequential acceleration, not deceleration. Management raised full-year EPS guidance from $1.66-$1.74 to $1.77-$1.83 after Q1 beat (source: transcripts guidance tracker) [serious]</w:t>
      </w:r>
    </w:p>
    <w:p>
      <w:pPr>
        <w:pStyle w:val="ListBullet"/>
      </w:pPr>
      <w:r>
        <w:t>AI adoption will drive sustained margin expansion — counter: Q2 EBITDA guide of $24-27M represents sequential decline from Q1's $26M despite seasonal strength, and CFO disclosed 'largest investment in research and development in company history' in Q4 2025 to fund AI innovation [moderate]</w:t>
      </w:r>
    </w:p>
    <w:p>
      <w:pPr>
        <w:pStyle w:val="ListBullet"/>
      </w:pPr>
      <w:r>
        <w:t>Analyst blind spot — counter: Customer concentration risk - no mention of large enterprise customer dependency despite focus on 'large enterprise customers deploying AI voice applications' [moderate]</w:t>
      </w:r>
    </w:p>
    <w:p>
      <w:pPr>
        <w:pStyle w:val="SubHeading"/>
      </w:pPr>
      <w:r>
        <w:t>Blind spots (auditor-independent):</w:t>
      </w:r>
    </w:p>
    <w:p>
      <w:pPr>
        <w:pStyle w:val="ListBullet"/>
      </w:pPr>
      <w:r>
        <w:t>Customer concentration risk - no mention of large enterprise customer dependency despite focus on 'large enterprise customers deploying AI voice applications'</w:t>
      </w:r>
    </w:p>
    <w:p>
      <w:pPr>
        <w:pStyle w:val="ListBullet"/>
      </w:pPr>
      <w:r>
        <w:t>Competitive moat durability - analyst claims network ownership provides defensibility but doesn't address why virtual providers can't replicate AI orchestration layer</w:t>
      </w:r>
    </w:p>
    <w:p>
      <w:pPr>
        <w:pStyle w:val="ListBullet"/>
      </w:pPr>
      <w:r>
        <w:t>Capital allocation priorities - no discussion of how AI infrastructure investments compete with shareholder returns or M&amp;A</w:t>
      </w:r>
    </w:p>
    <w:p>
      <w:pPr>
        <w:pStyle w:val="KillCriteria"/>
      </w:pPr>
      <w:r>
        <w:t>What would change our mind: Unable to close gap: Specific revenue contribution from Salesforce AgentForce partnership</w:t>
      </w:r>
    </w:p>
    <w:p>
      <w:pPr>
        <w:pStyle w:val="SectionHeading"/>
      </w:pPr>
      <w:r>
        <w:t>Appendix</w:t>
      </w:r>
    </w:p>
    <w:p>
      <w:pPr>
        <w:pStyle w:val="SubHeading"/>
      </w:pPr>
      <w:r>
        <w:t>Business context:</w:t>
      </w:r>
    </w:p>
    <w:p>
      <w:r>
        <w:t>Bandwidth operates a global communications cloud platform providing voice and messaging services to enterprises, with network infrastructure ownership enabling AI-driven communications through their Maestro orchestration layer. The company generates revenue primarily from voice solutions (~58% of total) and programmable messaging, with a focus on large enterprise customers deploying AI voice applications.</w:t>
      </w:r>
    </w:p>
    <w:p>
      <w:pPr>
        <w:pStyle w:val="SubHeading"/>
      </w:pPr>
      <w:r>
        <w:t>Evidence gaps (research TODO):</w:t>
      </w:r>
    </w:p>
    <w:p>
      <w:pPr>
        <w:pStyle w:val="ListBullet"/>
      </w:pPr>
      <w:r>
        <w:t>Specific revenue contribution from Salesforce AgentForce partnership</w:t>
      </w:r>
    </w:p>
    <w:p>
      <w:pPr>
        <w:pStyle w:val="ListBullet"/>
      </w:pPr>
      <w:r>
        <w:t>Quantified competitive win/loss rates versus virtual providers</w:t>
      </w:r>
    </w:p>
    <w:p>
      <w:pPr>
        <w:pStyle w:val="ListBullet"/>
      </w:pPr>
      <w:r>
        <w:t>Breakdown of R&amp;D investment allocation between AI and core platform</w:t>
      </w:r>
    </w:p>
    <w:p>
      <w:pPr>
        <w:pStyle w:val="ListBullet"/>
      </w:pPr>
      <w:r>
        <w:t>Customer concentration metrics and churn rates by segment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