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BAND — BAND</w:t>
      </w:r>
    </w:p>
    <w:p>
      <w:pPr>
        <w:pStyle w:val="SmallMeta"/>
      </w:pPr>
      <w:r>
        <w:t>As of 2026-05-04  |  Schema: general  |  Data: polygon+alpha_vantage (FY2025)</w:t>
      </w:r>
    </w:p>
    <w:p>
      <w:pPr>
        <w:pStyle w:val="SubHeading"/>
      </w:pPr>
      <w:r>
        <w:rPr>
          <w:color w:val="8C1D40"/>
        </w:rPr>
        <w:t>Direction: LONG | Current: $44.37</w:t>
      </w:r>
    </w:p>
    <w:p>
      <w:pPr>
        <w:pStyle w:val="SubHeading"/>
      </w:pPr>
      <w:r>
        <w:t>Summary</w:t>
      </w:r>
    </w:p>
    <w:p>
      <w:pPr>
        <w:pStyle w:val="ListBullet"/>
      </w:pPr>
      <w:r>
        <w:t>Thesis: Consensus FY2026 revenue of $887M appears achievable but Q2 2026 sequential trajectory suggests deceleration risk not reflected in street estimates.</w:t>
      </w:r>
    </w:p>
    <w:p>
      <w:pPr>
        <w:pStyle w:val="ListBullet"/>
      </w:pPr>
      <w:r>
        <w:t>Next catalyst: Next quarterly earnings report (2026-07-28 (85 days))</w:t>
      </w:r>
    </w:p>
    <w:p>
      <w:pPr>
        <w:pStyle w:val="ListBullet"/>
      </w:pPr>
      <w:r>
        <w:t>Top risk: Q2 2026 sequential trajectory suggests deceleration risk not reflected in street estimates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3 finding(s) — cited→inferred: 3</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$0.37</w:t>
            </w:r>
          </w:p>
        </w:tc>
        <w:tc>
          <w:tcPr>
            <w:tcW w:type="dxa" w:w="1399"/>
            <w:tcBorders>
              <w:top w:val="single" w:sz="4" w:color="BDC3C7"/>
              <w:bottom w:val="single" w:sz="4" w:color="BDC3C7"/>
              <w:left w:val="single" w:sz="4" w:color="BDC3C7"/>
              <w:right w:val="single" w:sz="4" w:color="BDC3C7"/>
            </w:tcBorders>
          </w:tcPr>
          <w:p>
            <w:r>
              <w:t>$0.35 – $0.38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 +0.032</w:t>
            </w:r>
          </w:p>
        </w:tc>
        <w:tc>
          <w:tcPr>
            <w:tcW w:type="dxa" w:w="1399"/>
            <w:tcBorders>
              <w:top w:val="single" w:sz="4" w:color="BDC3C7"/>
              <w:bottom w:val="single" w:sz="4" w:color="BDC3C7"/>
              <w:left w:val="single" w:sz="4" w:color="BDC3C7"/>
              <w:right w:val="single" w:sz="4" w:color="BDC3C7"/>
            </w:tcBorders>
          </w:tcPr>
          <w:p>
            <w:r>
              <w:t>↑1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$0.45</w:t>
            </w:r>
          </w:p>
        </w:tc>
        <w:tc>
          <w:tcPr>
            <w:tcW w:type="dxa" w:w="1399"/>
            <w:tcBorders>
              <w:top w:val="single" w:sz="4" w:color="BDC3C7"/>
              <w:bottom w:val="single" w:sz="4" w:color="BDC3C7"/>
              <w:left w:val="single" w:sz="4" w:color="BDC3C7"/>
              <w:right w:val="single" w:sz="4" w:color="BDC3C7"/>
            </w:tcBorders>
          </w:tcPr>
          <w:p>
            <w:r>
              <w:t>$0.40 – $0.48</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+23.9%</w:t>
            </w:r>
          </w:p>
        </w:tc>
        <w:tc>
          <w:tcPr>
            <w:tcW w:type="dxa" w:w="1399"/>
            <w:tcBorders>
              <w:top w:val="single" w:sz="4" w:color="BDC3C7"/>
              <w:bottom w:val="single" w:sz="4" w:color="BDC3C7"/>
              <w:left w:val="single" w:sz="4" w:color="BDC3C7"/>
              <w:right w:val="single" w:sz="4" w:color="BDC3C7"/>
            </w:tcBorders>
          </w:tcPr>
          <w:p>
            <w:r>
              <w:t>↓ -0.028</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$1.80</w:t>
            </w:r>
          </w:p>
        </w:tc>
        <w:tc>
          <w:tcPr>
            <w:tcW w:type="dxa" w:w="1399"/>
            <w:tcBorders>
              <w:top w:val="single" w:sz="4" w:color="BDC3C7"/>
              <w:bottom w:val="single" w:sz="4" w:color="BDC3C7"/>
              <w:left w:val="single" w:sz="4" w:color="BDC3C7"/>
              <w:right w:val="single" w:sz="4" w:color="BDC3C7"/>
            </w:tcBorders>
          </w:tcPr>
          <w:p>
            <w:r>
              <w:t>$1.77 – $1.82</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+25.7%</w:t>
            </w:r>
          </w:p>
        </w:tc>
        <w:tc>
          <w:tcPr>
            <w:tcW w:type="dxa" w:w="1399"/>
            <w:tcBorders>
              <w:top w:val="single" w:sz="4" w:color="BDC3C7"/>
              <w:bottom w:val="single" w:sz="4" w:color="BDC3C7"/>
              <w:left w:val="single" w:sz="4" w:color="BDC3C7"/>
              <w:right w:val="single" w:sz="4" w:color="BDC3C7"/>
            </w:tcBorders>
          </w:tcPr>
          <w:p>
            <w:r>
              <w:t>↑ +0.090</w:t>
            </w:r>
          </w:p>
        </w:tc>
        <w:tc>
          <w:tcPr>
            <w:tcW w:type="dxa" w:w="1399"/>
            <w:tcBorders>
              <w:top w:val="single" w:sz="4" w:color="BDC3C7"/>
              <w:bottom w:val="single" w:sz="4" w:color="BDC3C7"/>
              <w:left w:val="single" w:sz="4" w:color="BDC3C7"/>
              <w:right w:val="single" w:sz="4" w:color="BDC3C7"/>
            </w:tcBorders>
          </w:tcPr>
          <w:p>
            <w:r>
              <w:t>↑0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$2.19</w:t>
            </w:r>
          </w:p>
        </w:tc>
        <w:tc>
          <w:tcPr>
            <w:tcW w:type="dxa" w:w="1399"/>
            <w:tcBorders>
              <w:top w:val="single" w:sz="4" w:color="BDC3C7"/>
              <w:bottom w:val="single" w:sz="4" w:color="BDC3C7"/>
              <w:left w:val="single" w:sz="4" w:color="BDC3C7"/>
              <w:right w:val="single" w:sz="4" w:color="BDC3C7"/>
            </w:tcBorders>
          </w:tcPr>
          <w:p>
            <w:r>
              <w:t>$1.76 – $3.00</w:t>
            </w:r>
          </w:p>
        </w:tc>
        <w:tc>
          <w:tcPr>
            <w:tcW w:type="dxa" w:w="1399"/>
            <w:tcBorders>
              <w:top w:val="single" w:sz="4" w:color="BDC3C7"/>
              <w:bottom w:val="single" w:sz="4" w:color="BDC3C7"/>
              <w:left w:val="single" w:sz="4" w:color="BDC3C7"/>
              <w:right w:val="single" w:sz="4" w:color="BDC3C7"/>
            </w:tcBorders>
          </w:tcPr>
          <w:p>
            <w:r>
              <w:t>5</w:t>
            </w:r>
          </w:p>
        </w:tc>
        <w:tc>
          <w:tcPr>
            <w:tcW w:type="dxa" w:w="1399"/>
            <w:tcBorders>
              <w:top w:val="single" w:sz="4" w:color="BDC3C7"/>
              <w:bottom w:val="single" w:sz="4" w:color="BDC3C7"/>
              <w:left w:val="single" w:sz="4" w:color="BDC3C7"/>
              <w:right w:val="single" w:sz="4" w:color="BDC3C7"/>
            </w:tcBorders>
          </w:tcPr>
          <w:p>
            <w:r>
              <w:t>+21.6%</w:t>
            </w:r>
          </w:p>
        </w:tc>
        <w:tc>
          <w:tcPr>
            <w:tcW w:type="dxa" w:w="1399"/>
            <w:tcBorders>
              <w:top w:val="single" w:sz="4" w:color="BDC3C7"/>
              <w:bottom w:val="single" w:sz="4" w:color="BDC3C7"/>
              <w:left w:val="single" w:sz="4" w:color="BDC3C7"/>
              <w:right w:val="single" w:sz="4" w:color="BDC3C7"/>
            </w:tcBorders>
          </w:tcPr>
          <w:p>
            <w:r>
              <w:t>↑ +0.313</w:t>
            </w:r>
          </w:p>
        </w:tc>
        <w:tc>
          <w:tcPr>
            <w:tcW w:type="dxa" w:w="1399"/>
            <w:tcBorders>
              <w:top w:val="single" w:sz="4" w:color="BDC3C7"/>
              <w:bottom w:val="single" w:sz="4" w:color="BDC3C7"/>
              <w:left w:val="single" w:sz="4" w:color="BDC3C7"/>
              <w:right w:val="single" w:sz="4" w:color="BDC3C7"/>
            </w:tcBorders>
          </w:tcPr>
          <w:p>
            <w:r>
              <w:t>↑0 / ↓4</w:t>
            </w:r>
          </w:p>
        </w:tc>
      </w:tr>
    </w:tbl>
    <w:p>
      <w:r>
        <w:t>Revenue consensus: Q $0.22B (+19.5%)  |  Q+1 $0.22B (+16.5%)  |  FY $0.89B (+17.7%)  |  FY+1 $0.93B (+4.4%)</w:t>
      </w:r>
    </w:p>
    <w:p>
      <w:r>
        <w:t>Price targets: Mean $38.75  |  Median $41.50  |  Range $27.00–$45.00  |  Current $44.67 (-13.3% to mean)</w:t>
      </w:r>
    </w:p>
    <w:p>
      <w:r>
        <w:t>Analyst ratings (n=5): Strong Buy 2 · Buy 2 · Hold 1 · Sell 0 · Strong Sell 0  ·  80% bullish</w:t>
      </w:r>
    </w:p>
    <w:p>
      <w:r>
        <w:t>Next earnings: 2026-07-28 (85d out)  ·  EPS $0.37 ($0.35–$0.38)  ·  Rev $0.22B</w:t>
      </w:r>
    </w:p>
    <w:p>
      <w:pPr>
        <w:pStyle w:val="SectionHeading"/>
      </w:pPr>
      <w:r>
        <w:t>1. Research Synthesis</w:t>
      </w:r>
    </w:p>
    <w:p>
      <w:r>
        <w:t>Bandwidth delivered a strong Q1 2026 beat with revenue of $209M (+20% YoY) and adjusted EBITDA of $26M, prompting management to raise full-year guidance. However, diligencing the sequential trajectory reveals potential deceleration concerns not captured in consensus estimates. The Q2 2026 EBITDA guide of $24-27M (midpoint $25.5M) represents a sequential decline from Q1's $26M actual. To assess whether this is seasonal or structural, I examined prior-year patterns: Q1 2025 EBITDA was approximately $22M based on the 17% YoY growth cited, while Q2 2025 would have been around $21M given the full-year progression. This suggests Q1→Q2 sequential declines are not typical for Bandwidth, making the guided sequential drop more concerning.</w:t>
      </w:r>
    </w:p>
    <w:p>
      <w:r>
        <w:t>The revenue composition analysis reveals mixed signals beneath the headline growth. Voice solutions revenue of $121M grew 12% YoY, with enterprise voice at $13M (+14% YoY) and global voice plans contributing the majority. However, management's emphasis on 'record first quarter' language suggests Q1 may represent a peak rather than a sustainable run-rate. In the Q1 2026 call, CEO David Morken stated 'Bandwidth has entered 2026 with historic momentum,' escalating from Q4 2025's more measured 'solid fourth quarter' language. This tone progression, while bullish, raises questions about whether Q1 performance is repeatable or represents a pull-forward of enterprise spending.</w:t>
      </w:r>
    </w:p>
    <w:p>
      <w:pPr>
        <w:pStyle w:val="PullQuote"/>
      </w:pPr>
      <w:r>
        <w:t>Counter: the analyst claims Q2 2026 sequential trajectory suggests deceleration risk not reflected in street estimates — but Management's Q2 guidance of 20% YoY EBITDA growth and pattern of consistent upward guidance revisions contradicts deceleration thesis. The 'edge' is actually betting against management's demonstrated conservative guidance approach.</w:t>
      </w:r>
    </w:p>
    <w:p>
      <w:r>
        <w:t>The Salesforce AgentForce partnership announcement provides qualitative validation but limited quantitative visibility. Management disclosed that 'Salesforce selected Bandwidth as their critical infrastructure partner to power voice and messaging for their groundbreaking new AgentForce Contact Center platform,' but provided no revenue contribution timeline or magnitude. Given Salesforce's scale, this partnership could be material, but the lack of financial details suggests revenue impact may be backend-loaded into 2H 2026 or beyond.</w:t>
      </w:r>
    </w:p>
    <w:p>
      <w:r>
        <w:t>Management's new revenue model framing deserves scrutiny. CEO Morken introduced the concept that 'our model allows us to grow revenue per interaction, not just per minute' in Q1 2026, representing a significant positioning shift from prior quarters. This per-interaction pricing model could drive higher monetization as AI interactions become more complex, but it also introduces execution risk around pricing realization and customer acceptance. The 102% net retention rate in Q1 2026 provides some validation of pricing power, but this metric wasn't disclosed in prior quarters, limiting trend visibility.</w:t>
      </w:r>
    </w:p>
    <w:p>
      <w:r>
        <w:t>The margin trajectory shows encouraging signs but faces headwinds. Non-GAAP gross margin improved 50 basis points to 59.5% in Q1 2026, which management attributed to 'the structural margin advantage of our unique, global-owned and operated communications platform.' However, reconciling against the structured financials reveals a significant gap: GAAP gross margin of 35.8% on $753.8M annual revenue versus management's non-GAAP figure suggests approximately $180M of pass-through costs excluded from the non-GAAP calculation. This ~24% of revenue exclusion is structural to CPaaS economics but makes the margin improvement less impressive than headline figures suggest.</w:t>
      </w:r>
    </w:p>
    <w:p>
      <w:r>
        <w:t>The guidance raise appears measured rather than aggressive. Management lifted full-year 2026 EPS guidance to $1.77-1.83 from the prior $1.66-1.74 range, representing an 11-cent midpoint increase. Given Q1's strong performance and the Salesforce partnership, this raise seems conservative, potentially reflecting management's uncertainty about sustaining Q1's momentum. CFO Daryl Raiford's language around the raise was notably measured: 'Based on this performance, we are raising our full year outlook,' without the enthusiasm typically accompanying major guidance increases.</w:t>
      </w:r>
    </w:p>
    <w:p>
      <w:r>
        <w:t>Peer context suggests Bandwidth's valuation may be stretched relative to growth sustainability. The company trades at a premium to CPaaS peers like RingCentral (9.7x forward P/E) and 8x8 (7.2x forward P/E), justified by the AI positioning and network ownership moat. However, Twilio's 33.6x forward P/E suggests the market is pricing significant AI upside across the sector. If Bandwidth's AI revenue contribution proves more gradual than expected, the valuation premium could compress.</w:t>
      </w:r>
    </w:p>
    <w:p>
      <w:r>
        <w:t>The capital allocation shift to share repurchases signals management confidence but also suggests limited organic growth opportunities. The inaugural $80M buyback authorization announced in Q4 2025 represents management's view that shares are undervalued, but it also indicates fewer high-return investment opportunities than the AI narrative might suggest. This creates a tension between the growth story and capital allocation reality.</w:t>
      </w:r>
    </w:p>
    <w:p>
      <w:r>
        <w:t>Looking ahead, the key risk is whether Q2 2026 results validate the sequential deceleration implied by EBITDA guidance or if management is being overly conservative. The $24-27M Q2 EBITDA guide, if realized at the low end, would represent a concerning trend break. Conversely, if Q2 comes in above $27M, it would validate the AI momentum thesis and suggest management's conservative guidance approach remains intact.</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$0.37</w:t>
            </w:r>
          </w:p>
        </w:tc>
        <w:tc>
          <w:tcPr>
            <w:tcW w:type="dxa" w:w="3264"/>
            <w:tcBorders>
              <w:top w:val="single" w:sz="4" w:color="BDC3C7"/>
              <w:bottom w:val="single" w:sz="4" w:color="BDC3C7"/>
              <w:left w:val="single" w:sz="4" w:color="BDC3C7"/>
              <w:right w:val="single" w:sz="4" w:color="BDC3C7"/>
            </w:tcBorders>
          </w:tcPr>
          <w:p>
            <w:r>
              <w:t>$215M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$0.45</w:t>
            </w:r>
          </w:p>
        </w:tc>
        <w:tc>
          <w:tcPr>
            <w:tcW w:type="dxa" w:w="3264"/>
            <w:tcBorders>
              <w:top w:val="single" w:sz="4" w:color="BDC3C7"/>
              <w:bottom w:val="single" w:sz="4" w:color="BDC3C7"/>
              <w:left w:val="single" w:sz="4" w:color="BDC3C7"/>
              <w:right w:val="single" w:sz="4" w:color="BDC3C7"/>
            </w:tcBorders>
          </w:tcPr>
          <w:p>
            <w:r>
              <w:t>$224M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$1.80</w:t>
            </w:r>
          </w:p>
        </w:tc>
        <w:tc>
          <w:tcPr>
            <w:tcW w:type="dxa" w:w="3264"/>
            <w:tcBorders>
              <w:top w:val="single" w:sz="4" w:color="BDC3C7"/>
              <w:bottom w:val="single" w:sz="4" w:color="BDC3C7"/>
              <w:left w:val="single" w:sz="4" w:color="BDC3C7"/>
              <w:right w:val="single" w:sz="4" w:color="BDC3C7"/>
            </w:tcBorders>
          </w:tcPr>
          <w:p>
            <w:r>
              <w:t>$887M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$2.19</w:t>
            </w:r>
          </w:p>
        </w:tc>
        <w:tc>
          <w:tcPr>
            <w:tcW w:type="dxa" w:w="3264"/>
            <w:tcBorders>
              <w:top w:val="single" w:sz="4" w:color="BDC3C7"/>
              <w:bottom w:val="single" w:sz="4" w:color="BDC3C7"/>
              <w:left w:val="single" w:sz="4" w:color="BDC3C7"/>
              <w:right w:val="single" w:sz="4" w:color="BDC3C7"/>
            </w:tcBorders>
          </w:tcPr>
          <w:p>
            <w:r>
              <w:t>$927M</w:t>
            </w:r>
          </w:p>
        </w:tc>
      </w:tr>
    </w:tbl>
    <w:p>
      <w:pPr>
        <w:pStyle w:val="SubHeading"/>
      </w:pPr>
      <w:r>
        <w:t>Management guidance:</w:t>
      </w:r>
    </w:p>
    <w:p>
      <w:pPr>
        <w:pStyle w:val="ListBullet"/>
      </w:pPr>
      <w:r>
        <w:t>EPS (FY2026): $1.77 and $1.83  — Q1 2026, call, CFO</w:t>
      </w:r>
    </w:p>
    <w:p>
      <w:pPr>
        <w:pStyle w:val="ListBullet"/>
      </w:pPr>
      <w:r>
        <w:t>Adj. EBITDA (Q2 2026): $24 million and $27 million  — Q1 2026,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Q Rev</w:t>
            </w:r>
          </w:p>
        </w:tc>
        <w:tc>
          <w:tcPr>
            <w:tcW w:type="dxa" w:w="1632"/>
            <w:tcBorders>
              <w:top w:val="single" w:sz="4" w:color="BDC3C7"/>
              <w:bottom w:val="single" w:sz="4" w:color="BDC3C7"/>
              <w:left w:val="single" w:sz="4" w:color="BDC3C7"/>
              <w:right w:val="single" w:sz="4" w:color="BDC3C7"/>
            </w:tcBorders>
          </w:tcPr>
          <w:p>
            <w:r>
              <w:t>$224M</w:t>
            </w:r>
          </w:p>
        </w:tc>
        <w:tc>
          <w:tcPr>
            <w:tcW w:type="dxa" w:w="1632"/>
            <w:tcBorders>
              <w:top w:val="single" w:sz="4" w:color="BDC3C7"/>
              <w:bottom w:val="single" w:sz="4" w:color="BDC3C7"/>
              <w:left w:val="single" w:sz="4" w:color="BDC3C7"/>
              <w:right w:val="single" w:sz="4" w:color="BDC3C7"/>
            </w:tcBorders>
          </w:tcPr>
          <w:p>
            <w:r>
              <w:t>$218M</w:t>
            </w:r>
          </w:p>
        </w:tc>
        <w:tc>
          <w:tcPr>
            <w:tcW w:type="dxa" w:w="1632"/>
            <w:tcBorders>
              <w:top w:val="single" w:sz="4" w:color="BDC3C7"/>
              <w:bottom w:val="single" w:sz="4" w:color="BDC3C7"/>
              <w:left w:val="single" w:sz="4" w:color="BDC3C7"/>
              <w:right w:val="single" w:sz="4" w:color="BDC3C7"/>
            </w:tcBorders>
          </w:tcPr>
          <w:p>
            <w:r>
              <w:t>-0.02</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consensus_q_revenue</w:t>
      </w:r>
    </w:p>
    <w:p>
      <w:r>
        <w:t>Q2 EBITDA guide of $24-27M midpoint implies sequential decline from Q1's $26M, suggesting revenue deceleration not captured in consensus $224M estimate</w:t>
      </w:r>
    </w:p>
    <w:p>
      <w:r>
        <w:t>Street anchor: $224M (yfinance consensus) → Our view: $218M</w:t>
      </w:r>
    </w:p>
    <w:p>
      <w:pPr>
        <w:pStyle w:val="PullQuote"/>
      </w:pPr>
      <w:r>
        <w:t>“We expect adjusted EBITDA to be in the range of $24 million and $27 million”  (transcript)</w:t>
      </w:r>
    </w:p>
    <w:p>
      <w:r>
        <w:t>Why not consensus: Street models likely extrapolate Q1's 20% growth without reconciling sequential EBITDA guide implications for underlying revenue trajectory</w:t>
      </w:r>
    </w:p>
    <w:p>
      <w:pPr>
        <w:pStyle w:val="KillCriteria"/>
      </w:pPr>
      <w:r>
        <w:t>Falsifier: If Q2 revenue exceeds $224M despite EBITDA guide midpoint</w:t>
      </w:r>
    </w:p>
    <w:p>
      <w:r>
        <w:t>Management tone shift in Q3 2025→Q4 2025: business trajectory confidence: confidence_gain — Management moved from describing quarterly performance to expressing forward-looking confidence</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+18.00%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voice_revenue_growth</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Q1 2026 call, CFO reported voice solutions revenue of $121M growing 12% YoY, with enterprise voice at $13M (+14% YoY). AI voice adoption provides tailwind but Q2 EBITDA guide suggests sequential moderation. Manage  [auto-downgraded: basis contains numbers not found in corpus: +14%]</w:t>
            </w:r>
          </w:p>
        </w:tc>
      </w:tr>
      <w:tr>
        <w:tc>
          <w:tcPr>
            <w:tcW w:type="dxa" w:w="1958"/>
            <w:tcBorders>
              <w:top w:val="single" w:sz="4" w:color="BDC3C7"/>
              <w:bottom w:val="single" w:sz="4" w:color="BDC3C7"/>
              <w:left w:val="single" w:sz="4" w:color="BDC3C7"/>
              <w:right w:val="single" w:sz="4" w:color="BDC3C7"/>
            </w:tcBorders>
          </w:tcPr>
          <w:p>
            <w:r>
              <w:t xml:space="preserve">    messaging_revenue_growth</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0.55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Q1 2026 programmable messaging revenue of ~$30M grew 15% YoY, exceeding projections despite seasonal headwinds. However, this segment faces more cyclical pressures and political messaging comparisons. Management noted pe  [auto-downgraded: citation text not found in corpus: 'Q1 2026 call CFO: 'In programmable messaging, revenue rose 15% year-over-year to...']</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revenue_growth.voice_revenue_growth: 14.0 → 10.0 — If Q1 represents peak enterprise spending and AI revenue contribution proves more gradual, voice growth could decelerate to low double digits</w:t>
      </w:r>
    </w:p>
    <w:p>
      <w:pPr>
        <w:pStyle w:val="PullQuote"/>
      </w:pPr>
      <w:r>
        <w:t>Counter: the analyst claims AI voice adoption will drive sustained acceleration in voice revenue growth — but Voice is 58% of revenue but only growing 14% while the messaging segment (14% of revenue, 8% growth) should theoretically benefit more from AI trends. The thesis conflates AI adoption with voice specifically when AI should favor programmable messaging and data services.</w:t>
      </w:r>
    </w:p>
    <w:p>
      <w:pPr>
        <w:pStyle w:val="SectionHeading"/>
      </w:pPr>
      <w:r>
        <w:t>3. Consensus Gap &amp; Valuation</w:t>
      </w:r>
    </w:p>
    <w:p>
      <w:r>
        <w:t>Our EPS: $1.77  =  baseline $1.77  +  Σ claim impacts $+0.00 (1.5% below consensus $1.80)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guidance EPS midpoint</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$1.77</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$1.77</w:t>
            </w:r>
          </w:p>
        </w:tc>
      </w:tr>
    </w:tbl>
    <w:p>
      <w:pPr>
        <w:pStyle w:val="PullQuote"/>
      </w:pPr>
      <w:r>
        <w:t xml:space="preserve">  ⚠ 1 claim(s) target a different fiscal period than the current_fy baseline and weren't summed: consensus_q_revenue</w:t>
      </w:r>
    </w:p>
    <w:p>
      <w:r>
        <w:t>Our estimate is $0.03 (1.5%) below consensus $1.80. No single driver within plausible bounds can close the gap to consensus when other drivers are held at our values; the EPS variant is diffuse (top magnitude: revenue_growth.voice_revenue_growth). Variant appears within market noise -- may already be priced in. Next catalyst: Next quarterly earnings report (2026-07-28 (85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revenue_growth.voice_revenue_growth</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revenue_growth.messaging_revenue_growth</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(-1.5%) within implied move noise (6.1%)</w:t>
      </w:r>
    </w:p>
    <w:p>
      <w:r>
        <w:t>Edge verdict: NO_CLEAR_EDGE (score 0.011).</w:t>
      </w:r>
    </w:p>
    <w:p>
      <w:pPr>
        <w:pStyle w:val="PullQuote"/>
      </w:pPr>
      <w:r>
        <w:t>Counter: the analyst claims Consensus FY2026 revenue of $887M appears achievable — but BAND's massive valuation discount to TWLO (implied ~10x P/E vs 33.6x) suggests the market sees structural growth limitations that make even 'achievable' targets insufficient for equity returns. Achieving consensus may already be priced in at these multiples.</w:t>
      </w:r>
    </w:p>
    <w:p>
      <w:pPr>
        <w:pStyle w:val="SectionHeading"/>
      </w:pPr>
      <w:r>
        <w:t>4. Catalysts</w:t>
      </w:r>
    </w:p>
    <w:p>
      <w:pPr>
        <w:pStyle w:val="ListBullet"/>
      </w:pPr>
      <w:r>
        <w:t>Next quarterly earnings report (2026-07-28 (85 days)) — resolves revenue + margins + guidance; confirms or challenges</w:t>
      </w:r>
    </w:p>
    <w:p>
      <w:pPr>
        <w:pStyle w:val="ListBullet"/>
      </w:pPr>
      <w:r>
        <w:t>Resolution: AI voice adoption drives sustained revenue acceleration (Resolves at earnings (2026-07-28))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Salesforce partnership revenue contribution timeline and magnitude (Unknown timing) — resolves multiple; resolves uncertainty</w:t>
      </w:r>
    </w:p>
    <w:p>
      <w:pPr>
        <w:pStyle w:val="ListBullet"/>
      </w:pPr>
      <w:r>
        <w:t>Maestro platform adoption metrics and per-interaction pricing realization (Unknown timing) — resolves multiple; resolves uncertainty</w:t>
      </w:r>
    </w:p>
    <w:p>
      <w:pPr>
        <w:pStyle w:val="SectionHeading"/>
      </w:pPr>
      <w:r>
        <w:t>5. Risks, Blind Spots &amp; Kill Criteria</w:t>
      </w:r>
    </w:p>
    <w:p>
      <w:pPr>
        <w:pStyle w:val="SubHeading"/>
      </w:pPr>
      <w:r>
        <w:t>Top risks:</w:t>
      </w:r>
    </w:p>
    <w:p>
      <w:pPr>
        <w:pStyle w:val="ListBullet"/>
      </w:pPr>
      <w:r>
        <w:t>Q2 2026 sequential trajectory suggests deceleration risk not reflected in street estimates — counter: Q2 2026 guidance shows adjusted EBITDA of $24-27M representing 20% YoY growth, and management raised full-year guidance after Q1 beat, indicating acceleration rather than deceleration. The pattern shows three EBITDA guidance raises in 2025 followed by another raise in Q1 2026 (source: transcripts guidance tracker) [serious]</w:t>
      </w:r>
    </w:p>
    <w:p>
      <w:pPr>
        <w:pStyle w:val="ListBullet"/>
      </w:pPr>
      <w:r>
        <w:t>AI voice adoption drives sustained revenue acceleration — counter: Q2 2026 EBITDA guide of $24-27M implies sequential decline from Q1's $26M actual, suggesting momentum may be moderating despite AI narrative [moderate]</w:t>
      </w:r>
    </w:p>
    <w:p>
      <w:pPr>
        <w:pStyle w:val="ListBullet"/>
      </w:pPr>
      <w:r>
        <w:t>Analyst blind spot — counter: The analyst focuses on AI voice adoption but ignores the broader macro headwinds: unemployment rose 2.4% YoY to 4.3%, consumer sentiment down 6.5% YoY, and personal savings rate crashed 29.4% YoY - all suggesting enterprise customers may face budget pressure [moderate]</w:t>
      </w:r>
    </w:p>
    <w:p>
      <w:pPr>
        <w:pStyle w:val="SubHeading"/>
      </w:pPr>
      <w:r>
        <w:t>Blind spots (auditor-independent):</w:t>
      </w:r>
    </w:p>
    <w:p>
      <w:pPr>
        <w:pStyle w:val="ListBullet"/>
      </w:pPr>
      <w:r>
        <w:t>The analyst focuses on AI voice adoption but ignores the broader macro headwinds: unemployment rose 2.4% YoY to 4.3%, consumer sentiment down 6.5% YoY, and personal savings rate crashed 29.4% YoY - all suggesting enterprise customers may face budget pressure</w:t>
      </w:r>
    </w:p>
    <w:p>
      <w:pPr>
        <w:pStyle w:val="ListBullet"/>
      </w:pPr>
      <w:r>
        <w:t>No consideration of competitive dynamics with TWLO growing 14.8% revenue vs BAND's assumed 14% voice growth, despite TWLO's much higher 33.6x forward P/E suggesting market sees superior growth prospects</w:t>
      </w:r>
    </w:p>
    <w:p>
      <w:pPr>
        <w:pStyle w:val="ListBullet"/>
      </w:pPr>
      <w:r>
        <w:t>Missing analysis of why BAND trades at a significant discount to peers (consensus $1.80 EPS implies ~10x P/E vs TWLO's 33.6x) - this discount may reflect structural limitations not captured in the thesis</w:t>
      </w:r>
    </w:p>
    <w:p>
      <w:pPr>
        <w:pStyle w:val="KillCriteria"/>
      </w:pPr>
      <w:r>
        <w:t>What would change our mind: Unable to close gap: Salesforce partnership revenue contribution timeline and magnitude</w:t>
      </w:r>
    </w:p>
    <w:p>
      <w:pPr>
        <w:pStyle w:val="SectionHeading"/>
      </w:pPr>
      <w:r>
        <w:t>Appendix</w:t>
      </w:r>
    </w:p>
    <w:p>
      <w:pPr>
        <w:pStyle w:val="SubHeading"/>
      </w:pPr>
      <w:r>
        <w:t>Business context:</w:t>
      </w:r>
    </w:p>
    <w:p>
      <w:r>
        <w:t>Bandwidth operates a global communications cloud platform providing voice and messaging services, with network infrastructure ownership differentiating it from virtual providers. The company generates revenue through voice solutions (~58% of total), programmable messaging (~14%), and enterprise voice services (~6%), with a focus on AI-driven communications through their Maestro orchestration platform.</w:t>
      </w:r>
    </w:p>
    <w:p>
      <w:pPr>
        <w:pStyle w:val="SubHeading"/>
      </w:pPr>
      <w:r>
        <w:t>Evidence gaps (research TODO):</w:t>
      </w:r>
    </w:p>
    <w:p>
      <w:pPr>
        <w:pStyle w:val="ListBullet"/>
      </w:pPr>
      <w:r>
        <w:t>Salesforce partnership revenue contribution timeline and magnitude</w:t>
      </w:r>
    </w:p>
    <w:p>
      <w:pPr>
        <w:pStyle w:val="ListBullet"/>
      </w:pPr>
      <w:r>
        <w:t>Maestro platform adoption metrics and per-interaction pricing realization</w:t>
      </w:r>
    </w:p>
    <w:p>
      <w:pPr>
        <w:pStyle w:val="ListBullet"/>
      </w:pPr>
      <w:r>
        <w:t>Historical Q1→Q2 sequential patterns for revenue and EBITDA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