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CMG — CMG</w:t>
      </w:r>
    </w:p>
    <w:p>
      <w:pPr>
        <w:pStyle w:val="SmallMeta"/>
      </w:pPr>
      <w:r>
        <w:t>As of 2026-04-22  |  Schema: restaurant  |  Data: polygon+alpha_vantage (FY2025)</w:t>
      </w:r>
    </w:p>
    <w:p>
      <w:pPr>
        <w:pStyle w:val="SubHeading"/>
      </w:pPr>
      <w:r>
        <w:rPr>
          <w:color w:val="8C1D40"/>
        </w:rPr>
        <w:t>Direction: SHORT | Current: $35.23</w:t>
      </w:r>
    </w:p>
    <w:p>
      <w:pPr>
        <w:pStyle w:val="SubHeading"/>
      </w:pPr>
      <w:r>
        <w:t>Summary</w:t>
      </w:r>
    </w:p>
    <w:p>
      <w:pPr>
        <w:pStyle w:val="ListBullet"/>
      </w:pPr>
      <w:r>
        <w:t>Thesis: Street underestimates the durability of comp headwinds because consensus assumes flat FY26 comps recover to +3-4% in 2H26, but management's own cohort data shows 40% of sales come from sub-$100K households who are structurally reducing frequency, and the high-efficiency equipment rollout providing 'hundreds of basis points' of comp lift is only reaching 15% of stores by year-end.</w:t>
      </w:r>
    </w:p>
    <w:p>
      <w:pPr>
        <w:pStyle w:val="ListBullet"/>
      </w:pPr>
      <w:r>
        <w:t>Next catalyst: Next quarterly earnings report (~60 days)</w:t>
      </w:r>
    </w:p>
    <w:p>
      <w:pPr>
        <w:pStyle w:val="ListBullet"/>
      </w:pPr>
      <w:r>
        <w:t>Top risk: Bulls assume equipment upgrades drive meaningful comp acceleration in 2H26</w:t>
      </w:r>
    </w:p>
    <w:p>
      <w:pPr>
        <w:pStyle w:val="SectionHeading"/>
      </w:pPr>
      <w:r>
        <w:t>1. Edge</w:t>
      </w:r>
    </w:p>
    <w:p>
      <w:r>
        <w:t>Street underestimates the durability of comp headwinds because consensus assumes flat FY26 comps recover to +3-4% in 2H26, but management's own cohort data shows 40% of sales come from sub-$100K households who are structurally reducing frequency, and the high-efficiency equipment rollout providing 'hundreds of basis points' of comp lift is only reaching 15% of stores by year-end.</w:t>
      </w:r>
    </w:p>
    <w:p>
      <w:r>
        <w:t>Consensus EPS of $1.25 implies ~2-3% comp growth for FY26, but management guided 'about flat' comps and their January momentum is driven by new protein launches that will lap. The street is anchored on historical mid-single-digit growth without accounting for the structural shift in Chipotle's core demographic - the CEO explicitly stated the 25-35 age group with sub-$100K income (40% of sales) faces 'unemployment, increased student loan repayment, and slower real wage growth.'</w:t>
      </w:r>
    </w:p>
    <w:p>
      <w:r>
        <w:t>The debate: Whether Chipotle can return to mid-single-digit comparable sales growth as consumer spending normalizes, or if the brand has reached maturity with structural headwinds from its premium pricing in a value-focused environment.</w:t>
      </w:r>
    </w:p>
    <w:p>
      <w:pPr>
        <w:pStyle w:val="SubHeading"/>
      </w:pPr>
      <w:r>
        <w:t>What consensus assumes:</w:t>
      </w:r>
    </w:p>
    <w:p>
      <w:pPr>
        <w:pStyle w:val="ListBullet"/>
      </w:pPr>
      <w:r>
        <w:t>sss_growth_pct: Street likely assumes flat to slightly positive comps in 1H26 accelerating to +3-4% in 2H26 as macro improves and equipment upgrades scale. This gets them to ~2% full-year comp growth needed for $1.25 EPS.</w:t>
      </w:r>
    </w:p>
    <w:p>
      <w:pPr>
        <w:pStyle w:val="ListBullet"/>
      </w:pPr>
      <w:r>
        <w:t>new_restaurants: Consensus probably models 350-370 new stores per management guidance, with standard 80% productivity assumptions driving incremental revenue growth.</w:t>
      </w:r>
    </w:p>
    <w:p>
      <w:pPr>
        <w:pStyle w:val="ListBullet"/>
      </w:pPr>
      <w:r>
        <w:t>food_cost_delta_bps: Street likely assumes modest food cost inflation of +50-100bps offset partially by menu pricing, netting to +25-50bps pressure.</w:t>
      </w:r>
    </w:p>
    <w:p>
      <w:pPr>
        <w:pStyle w:val="SubHeading"/>
      </w:pPr>
      <w:r>
        <w:t>Where we differ from guidance:</w:t>
      </w:r>
    </w:p>
    <w:p>
      <w:pPr>
        <w:pStyle w:val="ListBullet"/>
      </w:pPr>
      <w:r>
        <w:t>sss_growth_pct: Management guides FY26 comps 'about flat' and emphasized being 'conservative and grounded' given consumer volatility. We model -0.5% comps, slightly below guide, because their January improvement is driven by new protein launches that create difficult laps, and the equipment package driving 'hundreds of basis points' only reaches 2,000 of 4,000+ stores by year-end.</w:t>
      </w:r>
    </w:p>
    <w:p>
      <w:pPr>
        <w:pStyle w:val="ListBullet"/>
      </w:pPr>
      <w:r>
        <w:t>new_restaurants: Management guides 350-370 new restaurants. We model 360 at the midpoint with standard productivity assumptions.</w:t>
      </w:r>
    </w:p>
    <w:p>
      <w:r>
        <w:t>Management tone shift in Q2 2025→Q3 2025: performance assessment: downgrade — Clear admission of underperformance replaced previous praise for execution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-1.26%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-2.50%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Q3 2025 call, CEO Scott Boatwright disclosed that guests with household income below $100,000 represent about 40% of total sales and are 'further reducin</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+1.24%</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Q4 2025 results showed average check increased 0.7% despite the challenging environment. Management emphasized taking a 'disciplined and measured approach to pr</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360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gross_openings</w:t>
            </w:r>
          </w:p>
        </w:tc>
        <w:tc>
          <w:tcPr>
            <w:tcW w:type="dxa" w:w="2448"/>
            <w:tcBorders>
              <w:top w:val="single" w:sz="4" w:color="BDC3C7"/>
              <w:bottom w:val="single" w:sz="4" w:color="BDC3C7"/>
              <w:left w:val="single" w:sz="4" w:color="BDC3C7"/>
              <w:right w:val="single" w:sz="4" w:color="BDC3C7"/>
            </w:tcBorders>
          </w:tcPr>
          <w:p>
            <w:r>
              <w:t>360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In the Q4 2025 earnings release, management provided FY2026 guidance of '350 to 370 new restaurant openings, which includes 10 to 15 international partner-opera</w:t>
            </w:r>
          </w:p>
        </w:tc>
      </w:tr>
    </w:tbl>
    <w:p>
      <w:pPr>
        <w:pStyle w:val="SubHeading"/>
      </w:pPr>
      <w:r>
        <w:t>Bear revisions:</w:t>
      </w:r>
    </w:p>
    <w:p>
      <w:pPr>
        <w:pStyle w:val="ListBullet"/>
      </w:pPr>
      <w:r>
        <w:t>Same-Store Sales Growth.traffic_growth: -1.56 → -2.5 — If the promotional environment intensifies further and Chipotle's value messaging fails to resonate, traffic declines could accelerate beyond the -3.2% Q4 rate, particularly if competitors launch aggressive value campaigns targeting the sub-$100K demographic.</w:t>
      </w:r>
    </w:p>
    <w:p>
      <w:pPr>
        <w:pStyle w:val="SectionHeading"/>
      </w:pPr>
      <w:r>
        <w:t>3. Consensus Gap &amp; Valuation</w:t>
      </w:r>
    </w:p>
    <w:p>
      <w:r>
        <w:t>Our estimate: EPS $1.02 vs. consensus $1.25 ($0.23 / 18.4% below).</w:t>
      </w:r>
    </w:p>
    <w:p>
      <w:r>
        <w:t>Our estimate is $0.23 (18.4%) below consensus $1.25. Primary driver: Same-Store Sales Growth.traffic_growth (ours -2.5 vs street +4.6, contributing $-0.284 to EPS variant, evidence: weak). Variant appears NOT fully priced in based on available market data. Next catalyst: Next quarterly earnings report (~60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Same-Store Sales Growth.traffic_growth</w:t>
            </w:r>
          </w:p>
        </w:tc>
        <w:tc>
          <w:tcPr>
            <w:tcW w:type="dxa" w:w="1958"/>
            <w:tcBorders>
              <w:top w:val="single" w:sz="4" w:color="BDC3C7"/>
              <w:bottom w:val="single" w:sz="4" w:color="BDC3C7"/>
              <w:left w:val="single" w:sz="4" w:color="BDC3C7"/>
              <w:right w:val="single" w:sz="4" w:color="BDC3C7"/>
            </w:tcBorders>
          </w:tcPr>
          <w:p>
            <w:r>
              <w:t>-2.50</w:t>
            </w:r>
          </w:p>
        </w:tc>
        <w:tc>
          <w:tcPr>
            <w:tcW w:type="dxa" w:w="1958"/>
            <w:tcBorders>
              <w:top w:val="single" w:sz="4" w:color="BDC3C7"/>
              <w:bottom w:val="single" w:sz="4" w:color="BDC3C7"/>
              <w:left w:val="single" w:sz="4" w:color="BDC3C7"/>
              <w:right w:val="single" w:sz="4" w:color="BDC3C7"/>
            </w:tcBorders>
          </w:tcPr>
          <w:p>
            <w:r>
              <w:t>+4.61</w:t>
            </w:r>
          </w:p>
        </w:tc>
        <w:tc>
          <w:tcPr>
            <w:tcW w:type="dxa" w:w="1958"/>
            <w:tcBorders>
              <w:top w:val="single" w:sz="4" w:color="BDC3C7"/>
              <w:bottom w:val="single" w:sz="4" w:color="BDC3C7"/>
              <w:left w:val="single" w:sz="4" w:color="BDC3C7"/>
              <w:right w:val="single" w:sz="4" w:color="BDC3C7"/>
            </w:tcBorders>
          </w:tcPr>
          <w:p>
            <w:r>
              <w:t>-0.284</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Same-Store Sales Growth.ticket_growth</w:t>
            </w:r>
          </w:p>
        </w:tc>
        <w:tc>
          <w:tcPr>
            <w:tcW w:type="dxa" w:w="1958"/>
            <w:tcBorders>
              <w:top w:val="single" w:sz="4" w:color="BDC3C7"/>
              <w:bottom w:val="single" w:sz="4" w:color="BDC3C7"/>
              <w:left w:val="single" w:sz="4" w:color="BDC3C7"/>
              <w:right w:val="single" w:sz="4" w:color="BDC3C7"/>
            </w:tcBorders>
          </w:tcPr>
          <w:p>
            <w:r>
              <w:t>+1.24</w:t>
            </w:r>
          </w:p>
        </w:tc>
        <w:tc>
          <w:tcPr>
            <w:tcW w:type="dxa" w:w="1958"/>
            <w:tcBorders>
              <w:top w:val="single" w:sz="4" w:color="BDC3C7"/>
              <w:bottom w:val="single" w:sz="4" w:color="BDC3C7"/>
              <w:left w:val="single" w:sz="4" w:color="BDC3C7"/>
              <w:right w:val="single" w:sz="4" w:color="BDC3C7"/>
            </w:tcBorders>
          </w:tcPr>
          <w:p>
            <w:r>
              <w:t>+8.12</w:t>
            </w:r>
          </w:p>
        </w:tc>
        <w:tc>
          <w:tcPr>
            <w:tcW w:type="dxa" w:w="1958"/>
            <w:tcBorders>
              <w:top w:val="single" w:sz="4" w:color="BDC3C7"/>
              <w:bottom w:val="single" w:sz="4" w:color="BDC3C7"/>
              <w:left w:val="single" w:sz="4" w:color="BDC3C7"/>
              <w:right w:val="single" w:sz="4" w:color="BDC3C7"/>
            </w:tcBorders>
          </w:tcPr>
          <w:p>
            <w:r>
              <w:t>-0.275</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New Restaurant Openings.gross_openings</w:t>
            </w:r>
          </w:p>
        </w:tc>
        <w:tc>
          <w:tcPr>
            <w:tcW w:type="dxa" w:w="1958"/>
            <w:tcBorders>
              <w:top w:val="single" w:sz="4" w:color="BDC3C7"/>
              <w:bottom w:val="single" w:sz="4" w:color="BDC3C7"/>
              <w:left w:val="single" w:sz="4" w:color="BDC3C7"/>
              <w:right w:val="single" w:sz="4" w:color="BDC3C7"/>
            </w:tcBorders>
          </w:tcPr>
          <w:p>
            <w:r>
              <w:t>+360.00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0.75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(-18.4%) exceeds implied move (2.2%)</w:t>
      </w:r>
    </w:p>
    <w:p>
      <w:r>
        <w:t>Edge verdict: POSSIBLE_EDGE (score 0.052).</w:t>
      </w:r>
    </w:p>
    <w:p>
      <w:pPr>
        <w:pStyle w:val="SectionHeading"/>
      </w:pPr>
      <w:r>
        <w:t>4. Catalysts</w:t>
      </w:r>
    </w:p>
    <w:p>
      <w:pPr>
        <w:pStyle w:val="ListBullet"/>
      </w:pPr>
      <w:r>
        <w:t>Next quarterly earnings report (~60 days) — resolves revenue + margins + guidance; confirms or challenges</w:t>
      </w:r>
    </w:p>
    <w:p>
      <w:pPr>
        <w:pStyle w:val="ListBullet"/>
      </w:pPr>
      <w:r>
        <w:t>Resolution: Bulls assume equipment upgrades drive meaningful comp acceleration in 2H26 (Multi-year thesis -- patience required) — resolves Same-Store Sales Growth; confirms or challenges</w:t>
      </w:r>
    </w:p>
    <w:p>
      <w:pPr>
        <w:pStyle w:val="ListBullet"/>
      </w:pPr>
      <w:r>
        <w:t>Resolution: Consumer headwinds are temporary and will normalize in 2H26 (Multi-year thesis -- patience required) — resolves Same-Store Sales Growth; confirms or challenges</w:t>
      </w:r>
    </w:p>
    <w:p>
      <w:pPr>
        <w:pStyle w:val="ListBullet"/>
      </w:pPr>
      <w:r>
        <w:t>Specific comp performance by income cohort to quantify the 40% sub-$100K impact (Unknown timing) — resolves multiple; resolves uncertainty</w:t>
      </w:r>
    </w:p>
    <w:p>
      <w:pPr>
        <w:pStyle w:val="ListBullet"/>
      </w:pPr>
      <w:r>
        <w:t>Detailed equipment package rollout schedule and comp lift quantification by quarter (Unknown timing) — resolves multiple; resolves uncertainty</w:t>
      </w:r>
    </w:p>
    <w:p>
      <w:pPr>
        <w:pStyle w:val="SectionHeading"/>
      </w:pPr>
      <w:r>
        <w:t>5. Risks, Blind Spots &amp; Kill Criteria</w:t>
      </w:r>
    </w:p>
    <w:p>
      <w:pPr>
        <w:pStyle w:val="SubHeading"/>
      </w:pPr>
      <w:r>
        <w:t>Top risks:</w:t>
      </w:r>
    </w:p>
    <w:p>
      <w:pPr>
        <w:pStyle w:val="ListBullet"/>
      </w:pPr>
      <w:r>
        <w:t>Bulls assume equipment upgrades drive meaningful comp acceleration in 2H26 — counter: Management stated only 350 restaurants have the full equipment package today, expanding to 2,000 by year-end 2026. This means the 'hundreds of basis points' comp lift only affects ~50% of stores by year-end, with full rollout not until 2027. The impact is back-end loaded and won't drive meaningful acceleration until FY27. [serious]</w:t>
      </w:r>
    </w:p>
    <w:p>
      <w:pPr>
        <w:pStyle w:val="ListBullet"/>
      </w:pPr>
      <w:r>
        <w:t>Consumer headwinds are temporary and will normalize in 2H26 — counter: CEO specifically identified structural issues for the 25-35 age group including 'unemployment, increased student loan repayment, and slower real wage growth.' This cohort represents a significant portion of the sub-$100K household segment (40% of sales) and faces multi-year headwinds, not cyclical pressures. [serious]</w:t>
      </w:r>
    </w:p>
    <w:p>
      <w:pPr>
        <w:pStyle w:val="KillCriteria"/>
      </w:pPr>
      <w:r>
        <w:t>What would change our mind: Print on Same-Store Sales Growth.traffic_growth comes in above our -2.5 figure (toward street +4.6) in the next 1-2 prints.</w:t>
      </w:r>
    </w:p>
    <w:p>
      <w:pPr>
        <w:pStyle w:val="SectionHeading"/>
      </w:pPr>
      <w:r>
        <w:t>Appendix</w:t>
      </w:r>
    </w:p>
    <w:p>
      <w:pPr>
        <w:pStyle w:val="SubHeading"/>
      </w:pPr>
      <w:r>
        <w:t>Evidence gaps (research TODO):</w:t>
      </w:r>
    </w:p>
    <w:p>
      <w:pPr>
        <w:pStyle w:val="ListBullet"/>
      </w:pPr>
      <w:r>
        <w:t>Specific comp performance by income cohort to quantify the 40% sub-$100K impact</w:t>
      </w:r>
    </w:p>
    <w:p>
      <w:pPr>
        <w:pStyle w:val="ListBullet"/>
      </w:pPr>
      <w:r>
        <w:t>Detailed equipment package rollout schedule and comp lift quantification by quarter</w:t>
      </w:r>
    </w:p>
    <w:p>
      <w:pPr>
        <w:pStyle w:val="ListBullet"/>
      </w:pPr>
      <w:r>
        <w:t>Competitive response to Chipotle's value messaging and potential promotional escalation</w:t>
      </w:r>
    </w:p>
    <w:p>
      <w:pPr>
        <w:pStyle w:val="ListBullet"/>
      </w:pPr>
      <w:r>
        <w:t>International expansion economics and contribution to overall growth</w:t>
      </w:r>
    </w:p>
    <w:p>
      <w:pPr>
        <w:pStyle w:val="ListBullet"/>
      </w:pPr>
      <w:r>
        <w:t>Digital platform changes and impact on customer acquisition costs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