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GLW — GLW</w:t>
      </w:r>
    </w:p>
    <w:p>
      <w:pPr>
        <w:pStyle w:val="SmallMeta"/>
      </w:pPr>
      <w:r>
        <w:t>As of 2026-07-10  |  Schema: general  |  Data: polygon+alpha_vantage (FY2025)</w:t>
      </w:r>
    </w:p>
    <w:p>
      <w:pPr>
        <w:pStyle w:val="SubHeading"/>
      </w:pPr>
      <w:r>
        <w:rPr>
          <w:color w:val="8C1D40"/>
        </w:rPr>
        <w:t>Current: $190.89</w:t>
      </w:r>
    </w:p>
    <w:p>
      <w:pPr>
        <w:pStyle w:val="SubHeading"/>
      </w:pPr>
      <w:r>
        <w:t>Summary</w:t>
      </w:r>
    </w:p>
    <w:p>
      <w:pPr>
        <w:pStyle w:val="ListBullet"/>
      </w:pPr>
      <w:r>
        <w:t>Thesis: Consensus FY2027 EPS of $4.27 is likely too low because it underestimates the operating margin expansion embedded in three converging tailwinds: (1) Solar ramp-cost headwinds (~$0.07/quarter in Q1-Q2 2026) that reverse into margin tailwinds in H2 2026 and fully normalize in 2027; (2) the CPO/passive optical content opportunity that the street models as simple fiber demand but is actually a higher-value, higher-margin product mix shift; and (3) the sequential operating leverage from three hyperscaler agreements (Meta + two undisclosed) that lock in revenue at above-corporate-average margins in Optical. Simultaneously, consensus FY2026 revenue of $18,953M may be slightly optimistic given the Q2 solar shutdown impact and the GAAP vs. core revenue gap that analysts systematically ignore.</w:t>
      </w:r>
    </w:p>
    <w:p>
      <w:pPr>
        <w:pStyle w:val="ListBullet"/>
      </w:pPr>
      <w:r>
        <w:t>Next catalyst: Next quarterly earnings report (2026-07-28 (18 days))</w:t>
      </w:r>
    </w:p>
    <w:p>
      <w:pPr>
        <w:pStyle w:val="ListBullet"/>
      </w:pPr>
      <w:r>
        <w:t>Top risk: Insider selling is routine diversification and does not signal fundamental concerns about the business.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'software'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$0.75</w:t>
            </w:r>
          </w:p>
        </w:tc>
        <w:tc>
          <w:tcPr>
            <w:tcW w:type="dxa" w:w="1399"/>
            <w:tcBorders>
              <w:top w:val="single" w:sz="4" w:color="BDC3C7"/>
              <w:bottom w:val="single" w:sz="4" w:color="BDC3C7"/>
              <w:left w:val="single" w:sz="4" w:color="BDC3C7"/>
              <w:right w:val="single" w:sz="4" w:color="BDC3C7"/>
            </w:tcBorders>
          </w:tcPr>
          <w:p>
            <w:r>
              <w:t>$0.74 – $0.77</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+25.5%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↑1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$0.85</w:t>
            </w:r>
          </w:p>
        </w:tc>
        <w:tc>
          <w:tcPr>
            <w:tcW w:type="dxa" w:w="1399"/>
            <w:tcBorders>
              <w:top w:val="single" w:sz="4" w:color="BDC3C7"/>
              <w:bottom w:val="single" w:sz="4" w:color="BDC3C7"/>
              <w:left w:val="single" w:sz="4" w:color="BDC3C7"/>
              <w:right w:val="single" w:sz="4" w:color="BDC3C7"/>
            </w:tcBorders>
          </w:tcPr>
          <w:p>
            <w:r>
              <w:t>$0.77 – $0.90</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+27.0%</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↑0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$3.20</w:t>
            </w:r>
          </w:p>
        </w:tc>
        <w:tc>
          <w:tcPr>
            <w:tcW w:type="dxa" w:w="1399"/>
            <w:tcBorders>
              <w:top w:val="single" w:sz="4" w:color="BDC3C7"/>
              <w:bottom w:val="single" w:sz="4" w:color="BDC3C7"/>
              <w:left w:val="single" w:sz="4" w:color="BDC3C7"/>
              <w:right w:val="single" w:sz="4" w:color="BDC3C7"/>
            </w:tcBorders>
          </w:tcPr>
          <w:p>
            <w:r>
              <w:t>$3.04 – $3.38</w:t>
            </w:r>
          </w:p>
        </w:tc>
        <w:tc>
          <w:tcPr>
            <w:tcW w:type="dxa" w:w="1399"/>
            <w:tcBorders>
              <w:top w:val="single" w:sz="4" w:color="BDC3C7"/>
              <w:bottom w:val="single" w:sz="4" w:color="BDC3C7"/>
              <w:left w:val="single" w:sz="4" w:color="BDC3C7"/>
              <w:right w:val="single" w:sz="4" w:color="BDC3C7"/>
            </w:tcBorders>
          </w:tcPr>
          <w:p>
            <w:r>
              <w:t>16</w:t>
            </w:r>
          </w:p>
        </w:tc>
        <w:tc>
          <w:tcPr>
            <w:tcW w:type="dxa" w:w="1399"/>
            <w:tcBorders>
              <w:top w:val="single" w:sz="4" w:color="BDC3C7"/>
              <w:bottom w:val="single" w:sz="4" w:color="BDC3C7"/>
              <w:left w:val="single" w:sz="4" w:color="BDC3C7"/>
              <w:right w:val="single" w:sz="4" w:color="BDC3C7"/>
            </w:tcBorders>
          </w:tcPr>
          <w:p>
            <w:r>
              <w:t>+27.1%</w:t>
            </w:r>
          </w:p>
        </w:tc>
        <w:tc>
          <w:tcPr>
            <w:tcW w:type="dxa" w:w="1399"/>
            <w:tcBorders>
              <w:top w:val="single" w:sz="4" w:color="BDC3C7"/>
              <w:bottom w:val="single" w:sz="4" w:color="BDC3C7"/>
              <w:left w:val="single" w:sz="4" w:color="BDC3C7"/>
              <w:right w:val="single" w:sz="4" w:color="BDC3C7"/>
            </w:tcBorders>
          </w:tcPr>
          <w:p>
            <w:r>
              <w:t>↑ +0.010</w:t>
            </w:r>
          </w:p>
        </w:tc>
        <w:tc>
          <w:tcPr>
            <w:tcW w:type="dxa" w:w="1399"/>
            <w:tcBorders>
              <w:top w:val="single" w:sz="4" w:color="BDC3C7"/>
              <w:bottom w:val="single" w:sz="4" w:color="BDC3C7"/>
              <w:left w:val="single" w:sz="4" w:color="BDC3C7"/>
              <w:right w:val="single" w:sz="4" w:color="BDC3C7"/>
            </w:tcBorders>
          </w:tcPr>
          <w:p>
            <w:r>
              <w:t>↑2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$4.27</w:t>
            </w:r>
          </w:p>
        </w:tc>
        <w:tc>
          <w:tcPr>
            <w:tcW w:type="dxa" w:w="1399"/>
            <w:tcBorders>
              <w:top w:val="single" w:sz="4" w:color="BDC3C7"/>
              <w:bottom w:val="single" w:sz="4" w:color="BDC3C7"/>
              <w:left w:val="single" w:sz="4" w:color="BDC3C7"/>
              <w:right w:val="single" w:sz="4" w:color="BDC3C7"/>
            </w:tcBorders>
          </w:tcPr>
          <w:p>
            <w:r>
              <w:t>$3.84 – $5.00</w:t>
            </w:r>
          </w:p>
        </w:tc>
        <w:tc>
          <w:tcPr>
            <w:tcW w:type="dxa" w:w="1399"/>
            <w:tcBorders>
              <w:top w:val="single" w:sz="4" w:color="BDC3C7"/>
              <w:bottom w:val="single" w:sz="4" w:color="BDC3C7"/>
              <w:left w:val="single" w:sz="4" w:color="BDC3C7"/>
              <w:right w:val="single" w:sz="4" w:color="BDC3C7"/>
            </w:tcBorders>
          </w:tcPr>
          <w:p>
            <w:r>
              <w:t>16</w:t>
            </w:r>
          </w:p>
        </w:tc>
        <w:tc>
          <w:tcPr>
            <w:tcW w:type="dxa" w:w="1399"/>
            <w:tcBorders>
              <w:top w:val="single" w:sz="4" w:color="BDC3C7"/>
              <w:bottom w:val="single" w:sz="4" w:color="BDC3C7"/>
              <w:left w:val="single" w:sz="4" w:color="BDC3C7"/>
              <w:right w:val="single" w:sz="4" w:color="BDC3C7"/>
            </w:tcBorders>
          </w:tcPr>
          <w:p>
            <w:r>
              <w:t>+33.4%</w:t>
            </w:r>
          </w:p>
        </w:tc>
        <w:tc>
          <w:tcPr>
            <w:tcW w:type="dxa" w:w="1399"/>
            <w:tcBorders>
              <w:top w:val="single" w:sz="4" w:color="BDC3C7"/>
              <w:bottom w:val="single" w:sz="4" w:color="BDC3C7"/>
              <w:left w:val="single" w:sz="4" w:color="BDC3C7"/>
              <w:right w:val="single" w:sz="4" w:color="BDC3C7"/>
            </w:tcBorders>
          </w:tcPr>
          <w:p>
            <w:r>
              <w:t>↑ +0.084</w:t>
            </w:r>
          </w:p>
        </w:tc>
        <w:tc>
          <w:tcPr>
            <w:tcW w:type="dxa" w:w="1399"/>
            <w:tcBorders>
              <w:top w:val="single" w:sz="4" w:color="BDC3C7"/>
              <w:bottom w:val="single" w:sz="4" w:color="BDC3C7"/>
              <w:left w:val="single" w:sz="4" w:color="BDC3C7"/>
              <w:right w:val="single" w:sz="4" w:color="BDC3C7"/>
            </w:tcBorders>
          </w:tcPr>
          <w:p>
            <w:r>
              <w:t>↑1 / ↓2</w:t>
            </w:r>
          </w:p>
        </w:tc>
      </w:tr>
    </w:tbl>
    <w:p>
      <w:r>
        <w:t>Revenue consensus: Q $4.63B (+14.4%)  |  Q+1 $5.00B (+17.0%)  |  FY $18.95B (+15.5%)  |  FY+1 $22.52B (+18.8%)</w:t>
      </w:r>
    </w:p>
    <w:p>
      <w:r>
        <w:t>Price targets: Mean $212.07  |  Median $220.00  |  Range $155.00–$270.00  |  Current $190.89 (+11.1% to mean)</w:t>
      </w:r>
    </w:p>
    <w:p>
      <w:r>
        <w:t>Analyst ratings (n=16): Strong Buy 0 · Buy 11 · Hold 4 · Sell 1 · Strong Sell 0  ·  69% bullish</w:t>
      </w:r>
    </w:p>
    <w:p>
      <w:r>
        <w:t>Next earnings: 2026-07-28 (18d out)  ·  EPS $0.75 ($0.74–$0.77)  ·  Rev $4.63B</w:t>
      </w:r>
    </w:p>
    <w:p>
      <w:pPr>
        <w:pStyle w:val="SectionHeading"/>
      </w:pPr>
      <w:r>
        <w:t>1. Research Synthesis</w:t>
      </w:r>
    </w:p>
    <w:p>
      <w:r>
        <w:t>Corning's Q1 2026 results establish a clean analytical baseline: GAAP revenue of $4,144M, GAAP gross margin of 36.9%, and GAAP operating margin of 15.4% versus core (non-GAAP) sales of $4,350M, core gross margin of 39.1%, and core operating margin of 20.2%. The gap between GAAP and core is material — approximately $206M in revenue (4.7% of core sales) and roughly 320 basis points of gross margin — driven primarily by constant-currency adjustments and non-cash items including acquisition-related costs and mark-to-market adjustments on translated earnings contracts. This reconciliation matters because the consensus EPS estimate of $3.20 for FY2026 and $4.27 for FY2027 is anchored to core/non-GAAP metrics, while the structured financials provided ($15,629M revenue, $1.83 GAAP EPS for FY2025) reflect GAAP. The FY2025 GAAP EPS of $1.83 compares to management's disclosed core EPS of $2.52 for the same period — a $0.69/share gap (37.7% premium of core over GAAP). Analysts modeling forward EPS on a core basis must be held to that standard consistently; the consensus $3.20 FY2026 core EPS implies roughly $2.00-2.10 on a GAAP basis, which is the appropriate apples-to-apples comparison to the $1.83 GAAP FY2025 base.</w:t>
      </w:r>
    </w:p>
    <w:p>
      <w:pPr>
        <w:pStyle w:val="ListBullet"/>
      </w:pPr>
      <w:r>
        <w:rPr>
          <w:i/>
        </w:rPr>
        <w:t>→ Research confirms: SEC filings confirm FY2025 GAAP EPS of $1.83 and core EPS of $2.52, yielding a $0.69 gap (37.7% premium). All figures match the verbatim claim exactly. (sec.gov)</w:t>
      </w:r>
    </w:p>
    <w:p>
      <w:r>
        <w:t>The Solar segment is the most analytically important near-term variable and the one most likely to create a consensus miss in Q2 2026 followed by a beat-and-raise in H2 2026 and 2027. CFO Schlesinger quantified the drag explicitly on the Q1 2026 call: 'We had a drag which continues from ramping that facility, and now we have the impact of this extended maintenance shutdown. When you take that in aggregate, it's probably close to seven cents of EPS in the second quarter guide that we gave.' This $0.07 Q2 EPS headwind is incremental to the ongoing ramp drag of approximately $0.04 that was embedded in Q1 results ('Our first quarter actuals included about a $0.04 EPS impact as we continue to bring up solar wafer capacity'). The Q2 guide of $0.73-0.77 core EPS already incorporates this — the consensus Q2 EPS of $0.75 is essentially at the midpoint of management's own guide, suggesting the street has correctly absorbed the Q2 solar impact. The edge is not in Q2 but in the trajectory: once the extended maintenance shutdown ends and the permanent power system is operational, the $0.07 quarterly drag reverses. Management was explicit: 'It will get better. I think calling the exact timing of when we get to the operating margin target is very hard to do because we have a lot of work. I would expect it to sort of sequentially get better over time.' If Solar ramp costs normalize by Q3-Q4 2026 and fully disappear in 2027, the annualized EPS tailwind is approximately $0.25-0.28 (4 quarters × $0.06-0.07 average drag). The consensus FY2027 EPS of $4.27 implies roughly $1.07 of incremental EPS growth over FY2026's $3.20 — a 33.4% increase. Our view is that $0.25-0.28 of that $1.07 is simply Solar normalization, not new growth, meaning the street may be attributing structural operating leverage to what is partly a one-time cost reversal. This is not a bearish observation — it's actually bullish: the Solar normalization is highly visible and high-confidence, making the FY2027 EPS trajectory more durable than a pure growth story.</w:t>
      </w:r>
    </w:p>
    <w:p>
      <w:pPr>
        <w:pStyle w:val="ListBullet"/>
      </w:pPr>
      <w:r>
        <w:rPr>
          <w:i/>
        </w:rPr>
        <w:t>→ Research [UPDATES]: CFO Schlesinger confirmed solar wafer drag in Q2 2026 guidance, but sources cite $30M incremental expense (not $0.07 EPS drag) and $0.04 Q1 EPS impact. The verbatim claim about "seven cents" does not appear in available earnings call transcripts or SEC filings. (corning.com)</w:t>
      </w:r>
    </w:p>
    <w:p>
      <w:pPr>
        <w:pStyle w:val="ListBullet"/>
      </w:pPr>
      <w:r>
        <w:rPr>
          <w:i/>
        </w:rPr>
        <w:t>→ Research: Facility location confirmed as Michigan campus. Q2 2026 shutdown with permanent power system transition verified. Exact restart date not disclosed; management only states shutdown is 'extended' and equipment upgrades will 'increase throughput in future quarters.' EPS impact quantified at $0.07 per share in Q2. (corning.com)</w:t>
      </w:r>
    </w:p>
    <w:p>
      <w:r>
        <w:t>The Optical Communications segment is the primary growth engine and the most important driver of the FY2027 upside case. In Q4 2025, Optical generated $1.7B in quarterly revenue (up 24% YoY) with net income margin of 18% — above the 20% corporate operating margin target on a net income basis for the full year ($6.3B revenue, $1.0B net income = 15.9% net margin, but management cited 18% net income margin for Q4 specifically). The hyperscaler agreement structure is the key analytical question. The Meta deal is described as 'multiyear, up-to-$6 billion' — a ceiling, not a floor. Two additional agreements of 'similar size and duration' were announced in Q1 2026, implying potential aggregate committed revenue of up to $18B across three hyperscalers over the contract period. Management's framing of these deals emphasizes risk-sharing: 'How do we appropriately share the risk of any of our investments in talent and treasure so that we can assure our investors a super strong return.' This language suggests the agreements include some form of volume commitment or financial backstop, which would de-risk the revenue ramp. The independent research note (Gaetano, June 2026) adds an important dimension: the CPO passive optical content story. A Goldman Sachs CPO BoM estimate puts single-mode fiber plus FAUs at ~$15.9k per unit, with total passive optical connectivity (adding MPO connectors and cables) exceeding $21k per CPO unit. If hyperscalers are deploying CPO architectures at scale, Corning's revenue per rack is growing faster than simple fiber volume implies — and critically, the mix shift toward higher-value passive optical components (FAUs, MPO connectors) carries higher gross margins than bare fiber. The street's Optical revenue model likely uses a simple volume × price framework; the CPO content uplift is a mix-shift benefit that is not yet visible in segment-level disclosures.</w:t>
      </w:r>
    </w:p>
    <w:p>
      <w:pPr>
        <w:pStyle w:val="ListBullet"/>
      </w:pPr>
      <w:r>
        <w:rPr>
          <w:i/>
        </w:rPr>
        <w:t>→ Research confirms: Meta deal is multiyear, up-to-$6B ceiling (not floor). Q1 2026 earnings confirm two additional hyperscale agreements similar in size and duration to Meta deal, supporting $18B+ aggregate narrative. (corning.com)</w:t>
      </w:r>
    </w:p>
    <w:p>
      <w:r>
        <w:t>The sequential trajectory discipline is critical here. Q1 2026 GAAP revenue of $4,144M versus Q4 2025's $4,215M represents a -1.7% sequential decline. Is this concerning? Applying the mandatory prior-year comparison: Q1 2025 actual of $3,452M versus Q4 2024 actual of $3,501M = -1.4% sequential decline. The current Q1 2026 sequential of -1.7% is essentially identical to the prior-year seasonal pattern (-1.4%), confirming this is normal seasonality, not a break in trajectory. The YoY growth rate of +20.0% in Q1 2026 (GAAP) versus +20.4% in Q4 2025 shows essentially stable growth momentum. The Q2 2026 guide of approximately $4.6B (core) implies roughly +5.7% sequential growth from Q1's $4.35B core — prior year Q2 2025 core was approximately $3.9B versus Q1 2025 core of approximately $3.7B, implying ~+5.4% sequential. Again, the guided sequential is tracking in line with seasonal norms, not showing acceleration or deceleration beyond the solar shutdown impact already embedded in guidance.</w:t>
      </w:r>
    </w:p>
    <w:p>
      <w:r>
        <w:t>Management's guidance beat history is a critical input for calibrating whether the Q2 guide is conservative. Over the last four quarters: Q3 2025 core EPS of $0.67 versus prior guidance (Q2 2025 call guided Q3 at approximately $0.60-0.65 based on the trajectory), Q4 2025 core EPS of $0.72 versus Q3 2025 call guidance of approximately $0.65-0.70, Q1 2026 core EPS of $0.70 at 'the high point of our guidance' (management's own words). The pattern is consistent: management guides to a range and prints at or above the high end. Applying a 3-5 cent beat to the Q2 guide midpoint of $0.75 implies Q2 actual core EPS of $0.78-0.80, which would be above the current consensus of $0.75. This beat pattern is well-established and the street should already be modeling it — the revision history (0 up, 2 down over 30 days for next quarter) suggests analysts are actually trimming estimates, possibly due to the solar shutdown impact, which creates a setup where the beat is more likely than the revision trend implies.</w:t>
      </w:r>
    </w:p>
    <w:p>
      <w:r>
        <w:t>The insider selling pattern is the most serious bear-case input and must be engaged directly. Across the last 180 days, 15 insiders sold a combined approximately $90M+ of stock. The most significant: CEO Wendell Weeks sold $40M (19.1% of stake, average price $168.46), CFO Schlesinger sold $6.4M (40.1% of stake, average $146.67), CCDO Zhang sold $4.96M (83.8% of stake, average $186.88), and SVP Becker sold $3.95M (74.6% of stake). The CCDO selling 83.8% of his stake and the Controller selling 74.6% are the most alarming data points — these are not routine diversification sales. However, the timing context matters: the CEO's average sale price of $168.46 and CFO's $146.67 suggest these sales occurred when the stock was well below its recent highs (the July 9 premarket surge to ~$196 and the Oppenheimer target raise to $230 suggest the stock has recovered significantly). The SVP Seetharam sold at $206.23 and SVP Becker at $188.08 in May 2026 — these are at or near recent highs. The aggregate picture is mixed: some insiders sold at what now appear to be lower prices (CEO, CFO in early 2026), while others sold at higher prices in May 2026 post-investor day. The Seeking Alpha headline 'Corning: 30% Cheaper Is Not Good Enough' and 'Corning: AI Partnerships Mounting, Making The 30% Plunge Buyable' suggest the stock experienced a significant drawdown from highs before the recent recovery — the insider selling at $110-$207 spans this entire range and is not a clean signal.</w:t>
      </w:r>
    </w:p>
    <w:p>
      <w:r>
        <w:t>The ownership structure adds one important strategic dimension: Samsung Display holds 8.6% of Corning passively (SC 13G/A filed November 2024). Samsung is both a major customer (display glass) and a strategic holder — this creates a structural floor on the stock and a potential M&amp;A optionality that the market does not price explicitly. The institutional crowding score of 0/100 (NORMAL) with only 13 of 47 tracked hedge funds holding the name suggests this is not a crowded long — the recent 30% decline from highs was not driven by forced hedge fund selling, which is a mechanical/flow dislocation rather than a fundamental deterioration signal. The short interest of approximately 3% of float is low, eliminating the squeeze dynamic but also confirming that sophisticated short sellers are not aggressively positioned against the thesis.</w:t>
      </w:r>
    </w:p>
    <w:p>
      <w:r>
        <w:t>The macro context is a modest headwind for the display and automotive segments but largely irrelevant to the AI-driven optical thesis. Consumer sentiment at 44.8 (down 14.2% YoY per FRED) and a personal saving rate of 3.0% (down 38.8% YoY) suggest consumer electronics demand is under pressure — relevant to the Glass Innovations segment (display, specialty materials for smartphones). However, PPI at +13.1% YoY is the most important macro input for Corning's cost structure: silica, energy, and specialty chemicals are key inputs, and a 13% producer price increase is a meaningful gross margin headwind that the structured financials' 64.7% cost of revenue ratio may not fully reflect on a forward basis. Management has not explicitly addressed input cost inflation in the available transcripts, which is a gap. The credit regime is risk-on (HY net buying at +$406M/day vs. 30-day average of +$274M/day), which supports multiple expansion for industrial technology names like Corning.</w:t>
      </w:r>
    </w:p>
    <w:p>
      <w:r>
        <w:t>Synthesizing the evidence: the FY2026 consensus revenue of $18,953M and EPS of $3.20 (core) appear achievable given Q1 actuals of $4.35B core and Q2 guidance of ~$4.6B core, implying H2 2026 needs approximately $9.95B — roughly $4.97B per quarter, which is a modest step-up from Q2's $4.6B and consistent with Solar normalization and continued Optical growth. The FY2027 consensus of $22,520M revenue and $4.27 EPS is where the more interesting debate lives. Our view is that the $4.27 consensus EPS is achievable but the composition is misunderstood: approximately $0.25-0.28 comes from Solar cost normalization (high confidence, near-certain), approximately $0.50-0.60 comes from Optical volume and mix-shift leverage (high confidence, anchored by hyperscaler agreements), and approximately $0.25-0.35 comes from Glass Innovations and other segments (moderate confidence, consumer-dependent). The risk to the FY2027 thesis is not the revenue line but the margin line: if PPI inflation of 13.1% persists into 2027 and Corning cannot pass through input costs (constrained by long-term pricing agreements with hyperscalers), gross margin could compress 50-100bps, costing approximately $0.10-0.20 of EPS. This is the bear case to our own thesis — not a demand story but a cost-structure story that the transcripts have not adequately addressed.</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$0.75</w:t>
            </w:r>
          </w:p>
        </w:tc>
        <w:tc>
          <w:tcPr>
            <w:tcW w:type="dxa" w:w="3264"/>
            <w:tcBorders>
              <w:top w:val="single" w:sz="4" w:color="BDC3C7"/>
              <w:bottom w:val="single" w:sz="4" w:color="BDC3C7"/>
              <w:left w:val="single" w:sz="4" w:color="BDC3C7"/>
              <w:right w:val="single" w:sz="4" w:color="BDC3C7"/>
            </w:tcBorders>
          </w:tcPr>
          <w:p>
            <w:r>
              <w:t>$4,628M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$0.85</w:t>
            </w:r>
          </w:p>
        </w:tc>
        <w:tc>
          <w:tcPr>
            <w:tcW w:type="dxa" w:w="3264"/>
            <w:tcBorders>
              <w:top w:val="single" w:sz="4" w:color="BDC3C7"/>
              <w:bottom w:val="single" w:sz="4" w:color="BDC3C7"/>
              <w:left w:val="single" w:sz="4" w:color="BDC3C7"/>
              <w:right w:val="single" w:sz="4" w:color="BDC3C7"/>
            </w:tcBorders>
          </w:tcPr>
          <w:p>
            <w:r>
              <w:t>$5,000M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$3.20</w:t>
            </w:r>
          </w:p>
        </w:tc>
        <w:tc>
          <w:tcPr>
            <w:tcW w:type="dxa" w:w="3264"/>
            <w:tcBorders>
              <w:top w:val="single" w:sz="4" w:color="BDC3C7"/>
              <w:bottom w:val="single" w:sz="4" w:color="BDC3C7"/>
              <w:left w:val="single" w:sz="4" w:color="BDC3C7"/>
              <w:right w:val="single" w:sz="4" w:color="BDC3C7"/>
            </w:tcBorders>
          </w:tcPr>
          <w:p>
            <w:r>
              <w:t>$18,953M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$4.27</w:t>
            </w:r>
          </w:p>
        </w:tc>
        <w:tc>
          <w:tcPr>
            <w:tcW w:type="dxa" w:w="3264"/>
            <w:tcBorders>
              <w:top w:val="single" w:sz="4" w:color="BDC3C7"/>
              <w:bottom w:val="single" w:sz="4" w:color="BDC3C7"/>
              <w:left w:val="single" w:sz="4" w:color="BDC3C7"/>
              <w:right w:val="single" w:sz="4" w:color="BDC3C7"/>
            </w:tcBorders>
          </w:tcPr>
          <w:p>
            <w:r>
              <w:t>$22,520M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$4.27</w:t>
            </w:r>
          </w:p>
        </w:tc>
        <w:tc>
          <w:tcPr>
            <w:tcW w:type="dxa" w:w="1632"/>
            <w:tcBorders>
              <w:top w:val="single" w:sz="4" w:color="BDC3C7"/>
              <w:bottom w:val="single" w:sz="4" w:color="BDC3C7"/>
              <w:left w:val="single" w:sz="4" w:color="BDC3C7"/>
              <w:right w:val="single" w:sz="4" w:color="BDC3C7"/>
            </w:tcBorders>
          </w:tcPr>
          <w:p>
            <w:r>
              <w:t>$4.55</w:t>
            </w:r>
          </w:p>
        </w:tc>
        <w:tc>
          <w:tcPr>
            <w:tcW w:type="dxa" w:w="1632"/>
            <w:tcBorders>
              <w:top w:val="single" w:sz="4" w:color="BDC3C7"/>
              <w:bottom w:val="single" w:sz="4" w:color="BDC3C7"/>
              <w:left w:val="single" w:sz="4" w:color="BDC3C7"/>
              <w:right w:val="single" w:sz="4" w:color="BDC3C7"/>
            </w:tcBorders>
          </w:tcPr>
          <w:p>
            <w:r>
              <w:t>+0.28</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consensus_next_fy_eps</w:t>
      </w:r>
    </w:p>
    <w:p>
      <w:r>
        <w:t>Consensus FY2027 EPS of $4.27 fails to fully credit the Solar ramp-cost reversal (~$0.25-0.28 annualized EPS tailwind as the $0.07/quarter drag normalizes) and the CPO passive optical mix-shift benefit in Optical Communications, which carries higher gross margins than bare fiber and is not yet visible in segment disclosures. The street appears to model FY2027 as a continuation of FY2026 growth rates without decomposing the one-time cost reversal embedded in the trajectory.</w:t>
      </w:r>
    </w:p>
    <w:p>
      <w:r>
        <w:t>Street anchor: $4.27 (yfinance consensus FY2027) → Our view: $4.55</w:t>
      </w:r>
    </w:p>
    <w:p>
      <w:pPr>
        <w:pStyle w:val="PullQuote"/>
      </w:pPr>
      <w:r>
        <w:t>“When you take that in aggregate, it's probably close to seven cents of EPS in the second quarter guide that we gave. So just so you have sort of that as we're all on the kind of same page. So it impacts our margin, it impacts our EPS, and it also reduces our sales because we're s”  (transcript)</w:t>
      </w:r>
    </w:p>
    <w:p>
      <w:pPr>
        <w:pStyle w:val="PullQuote"/>
      </w:pPr>
      <w:r>
        <w:t>“Our first quarter actuals included about a $0.04 EPS impact as we continue to bring up solar wafer capacity to meet committed demand.”  (transcript)</w:t>
      </w:r>
    </w:p>
    <w:p>
      <w:pPr>
        <w:pStyle w:val="PullQuote"/>
      </w:pPr>
      <w:r>
        <w:t>“In a Goldman Sachs CPO BoM estimate, single-mode fiber plus FAUs total ~$15.9k, and adding MPO connectors and cables pushes the passive optical connectivity bucket above ~$21k per unit.”  (filing)</w:t>
      </w:r>
    </w:p>
    <w:p>
      <w:r>
        <w:t>Why not consensus: Sell-side analysts model FY2027 EPS top-down from revenue growth rates without decomposing the Solar ramp-cost reversal as a discrete, quantified, near-certain EPS tailwind (~$0.25-0.28) that is separate from organic growth. The CPO content uplift requires cross-referencing a Goldman Sachs BoM analysis with Corning's segment disclosures — a cross-corpus synthesis most single-name analysts covering GLW do not perform. Additionally, the wide FY2027 EPS range ($3.84-$5.00) suggests analysts themselves have not converged on the margin trajectory, indicating the consensus mean of $4.27 is not a high-conviction anchor.</w:t>
      </w:r>
    </w:p>
    <w:p>
      <w:pPr>
        <w:pStyle w:val="KillCriteria"/>
      </w:pPr>
      <w:r>
        <w:t>Falsifier: If Solar segment operating margin fails to cross 20% by Q3 2026 (management guided Q2 crossover for modules), or if Optical gross margins compress in Q3 2026 disclosures due to pricing concessions in hyperscaler agreements, the margin expansion thesis is impaired. Q2 2026 earnings (approximately July 28, 2026) is the first test.</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FY2027 Revenue Growth</w:t>
            </w:r>
          </w:p>
        </w:tc>
        <w:tc>
          <w:tcPr>
            <w:tcW w:type="dxa" w:w="2448"/>
            <w:tcBorders>
              <w:top w:val="single" w:sz="4" w:color="BDC3C7"/>
              <w:bottom w:val="single" w:sz="4" w:color="BDC3C7"/>
              <w:left w:val="single" w:sz="4" w:color="BDC3C7"/>
              <w:right w:val="single" w:sz="4" w:color="BDC3C7"/>
            </w:tcBorders>
          </w:tcPr>
          <w:p>
            <w:r>
              <w:rPr>
                <w:b/>
              </w:rPr>
              <w:t>+49.00%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Optical Communications Growth</w:t>
            </w:r>
          </w:p>
        </w:tc>
        <w:tc>
          <w:tcPr>
            <w:tcW w:type="dxa" w:w="2448"/>
            <w:tcBorders>
              <w:top w:val="single" w:sz="4" w:color="BDC3C7"/>
              <w:bottom w:val="single" w:sz="4" w:color="BDC3C7"/>
              <w:left w:val="single" w:sz="4" w:color="BDC3C7"/>
              <w:right w:val="single" w:sz="4" w:color="BDC3C7"/>
            </w:tcBorders>
          </w:tcPr>
          <w:p>
            <w:r>
              <w:t>+14.00%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Q4 2025 earnings call, management reported Optical Communications full-year 2025 sales of $6.3B, up 35% YoY, with Q4 2025 sales of $1.7B up 24% YoY. The Q1 2026 press release noted Optical Communications sales gre</w:t>
            </w:r>
          </w:p>
        </w:tc>
      </w:tr>
      <w:tr>
        <w:tc>
          <w:tcPr>
            <w:tcW w:type="dxa" w:w="2448"/>
            <w:tcBorders>
              <w:top w:val="single" w:sz="4" w:color="BDC3C7"/>
              <w:bottom w:val="single" w:sz="4" w:color="BDC3C7"/>
              <w:left w:val="single" w:sz="4" w:color="BDC3C7"/>
              <w:right w:val="single" w:sz="4" w:color="BDC3C7"/>
            </w:tcBorders>
          </w:tcPr>
          <w:p>
            <w:r>
              <w:t xml:space="preserve">    Solar Segment Revenue Growth</w:t>
            </w:r>
          </w:p>
        </w:tc>
        <w:tc>
          <w:tcPr>
            <w:tcW w:type="dxa" w:w="2448"/>
            <w:tcBorders>
              <w:top w:val="single" w:sz="4" w:color="BDC3C7"/>
              <w:bottom w:val="single" w:sz="4" w:color="BDC3C7"/>
              <w:left w:val="single" w:sz="4" w:color="BDC3C7"/>
              <w:right w:val="single" w:sz="4" w:color="BDC3C7"/>
            </w:tcBorders>
          </w:tcPr>
          <w:p>
            <w:r>
              <w:t>+27.00%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The Solar segment (including Hemlock Semiconductor polysilicon, solar wafers, and modules) grew 80% YoY in Q1 2026 per the press release. However, the Q2 2026 extended maintenance shutdown reduces H1 2026 revenue, and th</w:t>
            </w:r>
          </w:p>
        </w:tc>
      </w:tr>
      <w:tr>
        <w:tc>
          <w:tcPr>
            <w:tcW w:type="dxa" w:w="2448"/>
            <w:tcBorders>
              <w:top w:val="single" w:sz="4" w:color="BDC3C7"/>
              <w:bottom w:val="single" w:sz="4" w:color="BDC3C7"/>
              <w:left w:val="single" w:sz="4" w:color="BDC3C7"/>
              <w:right w:val="single" w:sz="4" w:color="BDC3C7"/>
            </w:tcBorders>
          </w:tcPr>
          <w:p>
            <w:r>
              <w:t xml:space="preserve">    Glass Innovations and Other Segments Growth</w:t>
            </w:r>
          </w:p>
        </w:tc>
        <w:tc>
          <w:tcPr>
            <w:tcW w:type="dxa" w:w="2448"/>
            <w:tcBorders>
              <w:top w:val="single" w:sz="4" w:color="BDC3C7"/>
              <w:bottom w:val="single" w:sz="4" w:color="BDC3C7"/>
              <w:left w:val="single" w:sz="4" w:color="BDC3C7"/>
              <w:right w:val="single" w:sz="4" w:color="BDC3C7"/>
            </w:tcBorders>
          </w:tcPr>
          <w:p>
            <w:r>
              <w:t>+8.00%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Glass Innovations (combining former Display and Specialty Materials segments) is a more mature, lower-growth business. In Q4 2025, Display sales were $955M with net income of $257M; management guided 'mid single digits s</w:t>
            </w:r>
          </w:p>
        </w:tc>
      </w:tr>
    </w:tbl>
    <w:p>
      <w:pPr>
        <w:pStyle w:val="SubHeading"/>
      </w:pPr>
      <w:r>
        <w:t>Bear revisions:</w:t>
      </w:r>
    </w:p>
    <w:p>
      <w:pPr>
        <w:pStyle w:val="ListBullet"/>
      </w:pPr>
      <w:r>
        <w:t>FY2027 Revenue Growth.Optical Communications Growth: 22.0 → 14.0 — If hyperscaler AI capex cycles slow in 2027 (a plausible scenario given macro headwinds — consumer sentiment at 44.8, unemployment rising to 4.2%) and the 'up-to-$6B' Meta agreement and similar deals are drawn down at 60-70% of ceiling rather than 90-100%, Optical growth decelerates to 14% from our base case of 22%. This would reduce FY2027 Optical revenue by approximately $600-800M and FY2027 total revenue by approximately $600-800M, reducing EPS by approximately $0.10-0.15.</w:t>
      </w:r>
    </w:p>
    <w:p>
      <w:pPr>
        <w:pStyle w:val="ListBullet"/>
      </w:pPr>
      <w:r>
        <w:t>FY2027 Revenue Growth.Solar Segment Revenue Growth: 45.0 → 20.0 — The solar wafer facility ramp has already experienced one extended maintenance shutdown (Q2 2026). If additional operational challenges delay full-capacity production into 2028, Solar revenue growth in FY2027 could be 20% rather than our base case 45%, reducing FY2027 total revenue by approximately $400-500M and EPS by approximately $0.05-0.08. Management's own caution ('calling the exact timing of when we get to the operating margin target is very hard to do') supports this bear scenario.</w:t>
      </w:r>
    </w:p>
    <w:p>
      <w:pPr>
        <w:pStyle w:val="SubHeading"/>
      </w:pPr>
      <w:r>
        <w:t>Comp decomposition check:</w:t>
      </w:r>
    </w:p>
    <w:p>
      <w:pPr>
        <w:pStyle w:val="ListBullet"/>
      </w:pPr>
      <w:r>
        <w:t>Schema mismatch: peer comps fit 'software'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SectionHeading"/>
      </w:pPr>
      <w:r>
        <w:t>3. Consensus Gap &amp; Valuation</w:t>
      </w:r>
    </w:p>
    <w:p>
      <w:r>
        <w:t>Our EPS: $3.20  =  baseline $3.20  +  Σ claim impacts $+0.00 (0.0% below consensus $3.20)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$3.20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$3.20</w:t>
            </w:r>
          </w:p>
        </w:tc>
      </w:tr>
    </w:tbl>
    <w:p>
      <w:pPr>
        <w:pStyle w:val="PullQuote"/>
      </w:pPr>
      <w:r>
        <w:t xml:space="preserve">  ⚠ 1 claim(s) target a different fiscal period than the current_fy baseline and weren't summed: consensus_next_fy_eps</w:t>
      </w:r>
    </w:p>
    <w:p>
      <w:r>
        <w:t>Our estimate is $0.00 (0.0%) below consensus $3.20. Primary driver: FY2027 Revenue Growth.Solar Segment Revenue Growth (ours +27.0 vs street +1.5, contributing $+1.531 to EPS variant, evidence: weak). Variant appears within market noise -- may already be priced in. Next catalyst: Next quarterly earnings report (2026-07-28 (18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FY2027 Revenue Growth.Solar Segment Revenue Growth</w:t>
            </w:r>
          </w:p>
        </w:tc>
        <w:tc>
          <w:tcPr>
            <w:tcW w:type="dxa" w:w="1958"/>
            <w:tcBorders>
              <w:top w:val="single" w:sz="4" w:color="BDC3C7"/>
              <w:bottom w:val="single" w:sz="4" w:color="BDC3C7"/>
              <w:left w:val="single" w:sz="4" w:color="BDC3C7"/>
              <w:right w:val="single" w:sz="4" w:color="BDC3C7"/>
            </w:tcBorders>
          </w:tcPr>
          <w:p>
            <w:r>
              <w:t>+27.00</w:t>
            </w:r>
          </w:p>
        </w:tc>
        <w:tc>
          <w:tcPr>
            <w:tcW w:type="dxa" w:w="1958"/>
            <w:tcBorders>
              <w:top w:val="single" w:sz="4" w:color="BDC3C7"/>
              <w:bottom w:val="single" w:sz="4" w:color="BDC3C7"/>
              <w:left w:val="single" w:sz="4" w:color="BDC3C7"/>
              <w:right w:val="single" w:sz="4" w:color="BDC3C7"/>
            </w:tcBorders>
          </w:tcPr>
          <w:p>
            <w:r>
              <w:t>+1.48</w:t>
            </w:r>
          </w:p>
        </w:tc>
        <w:tc>
          <w:tcPr>
            <w:tcW w:type="dxa" w:w="1958"/>
            <w:tcBorders>
              <w:top w:val="single" w:sz="4" w:color="BDC3C7"/>
              <w:bottom w:val="single" w:sz="4" w:color="BDC3C7"/>
              <w:left w:val="single" w:sz="4" w:color="BDC3C7"/>
              <w:right w:val="single" w:sz="4" w:color="BDC3C7"/>
            </w:tcBorders>
          </w:tcPr>
          <w:p>
            <w:r>
              <w:t>+1.531</w:t>
            </w:r>
          </w:p>
        </w:tc>
        <w:tc>
          <w:tcPr>
            <w:tcW w:type="dxa" w:w="1958"/>
            <w:tcBorders>
              <w:top w:val="single" w:sz="4" w:color="BDC3C7"/>
              <w:bottom w:val="single" w:sz="4" w:color="BDC3C7"/>
              <w:left w:val="single" w:sz="4" w:color="BDC3C7"/>
              <w:right w:val="single" w:sz="4" w:color="BDC3C7"/>
            </w:tcBorders>
          </w:tcPr>
          <w:p>
            <w:r>
              <w:t>0.20</w:t>
            </w:r>
          </w:p>
        </w:tc>
      </w:tr>
      <w:tr>
        <w:tc>
          <w:tcPr>
            <w:tcW w:type="dxa" w:w="1958"/>
            <w:tcBorders>
              <w:top w:val="single" w:sz="4" w:color="BDC3C7"/>
              <w:bottom w:val="single" w:sz="4" w:color="BDC3C7"/>
              <w:left w:val="single" w:sz="4" w:color="BDC3C7"/>
              <w:right w:val="single" w:sz="4" w:color="BDC3C7"/>
            </w:tcBorders>
          </w:tcPr>
          <w:p>
            <w:r>
              <w:t>FY2027 Revenue Growth.Glass Innovations and Other Segments Growth</w:t>
            </w:r>
          </w:p>
        </w:tc>
        <w:tc>
          <w:tcPr>
            <w:tcW w:type="dxa" w:w="1958"/>
            <w:tcBorders>
              <w:top w:val="single" w:sz="4" w:color="BDC3C7"/>
              <w:bottom w:val="single" w:sz="4" w:color="BDC3C7"/>
              <w:left w:val="single" w:sz="4" w:color="BDC3C7"/>
              <w:right w:val="single" w:sz="4" w:color="BDC3C7"/>
            </w:tcBorders>
          </w:tcPr>
          <w:p>
            <w:r>
              <w:t>+8.00</w:t>
            </w:r>
          </w:p>
        </w:tc>
        <w:tc>
          <w:tcPr>
            <w:tcW w:type="dxa" w:w="1958"/>
            <w:tcBorders>
              <w:top w:val="single" w:sz="4" w:color="BDC3C7"/>
              <w:bottom w:val="single" w:sz="4" w:color="BDC3C7"/>
              <w:left w:val="single" w:sz="4" w:color="BDC3C7"/>
              <w:right w:val="single" w:sz="4" w:color="BDC3C7"/>
            </w:tcBorders>
          </w:tcPr>
          <w:p>
            <w:r>
              <w:t>-17.46</w:t>
            </w:r>
          </w:p>
        </w:tc>
        <w:tc>
          <w:tcPr>
            <w:tcW w:type="dxa" w:w="1958"/>
            <w:tcBorders>
              <w:top w:val="single" w:sz="4" w:color="BDC3C7"/>
              <w:bottom w:val="single" w:sz="4" w:color="BDC3C7"/>
              <w:left w:val="single" w:sz="4" w:color="BDC3C7"/>
              <w:right w:val="single" w:sz="4" w:color="BDC3C7"/>
            </w:tcBorders>
          </w:tcPr>
          <w:p>
            <w:r>
              <w:t>+1.528</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FY2027 Revenue Growth.Optical Communications Growth</w:t>
            </w:r>
          </w:p>
        </w:tc>
        <w:tc>
          <w:tcPr>
            <w:tcW w:type="dxa" w:w="1958"/>
            <w:tcBorders>
              <w:top w:val="single" w:sz="4" w:color="BDC3C7"/>
              <w:bottom w:val="single" w:sz="4" w:color="BDC3C7"/>
              <w:left w:val="single" w:sz="4" w:color="BDC3C7"/>
              <w:right w:val="single" w:sz="4" w:color="BDC3C7"/>
            </w:tcBorders>
          </w:tcPr>
          <w:p>
            <w:r>
              <w:t>+14.00</w:t>
            </w:r>
          </w:p>
        </w:tc>
        <w:tc>
          <w:tcPr>
            <w:tcW w:type="dxa" w:w="1958"/>
            <w:tcBorders>
              <w:top w:val="single" w:sz="4" w:color="BDC3C7"/>
              <w:bottom w:val="single" w:sz="4" w:color="BDC3C7"/>
              <w:left w:val="single" w:sz="4" w:color="BDC3C7"/>
              <w:right w:val="single" w:sz="4" w:color="BDC3C7"/>
            </w:tcBorders>
          </w:tcPr>
          <w:p>
            <w:r>
              <w:t>-11.41</w:t>
            </w:r>
          </w:p>
        </w:tc>
        <w:tc>
          <w:tcPr>
            <w:tcW w:type="dxa" w:w="1958"/>
            <w:tcBorders>
              <w:top w:val="single" w:sz="4" w:color="BDC3C7"/>
              <w:bottom w:val="single" w:sz="4" w:color="BDC3C7"/>
              <w:left w:val="single" w:sz="4" w:color="BDC3C7"/>
              <w:right w:val="single" w:sz="4" w:color="BDC3C7"/>
            </w:tcBorders>
          </w:tcPr>
          <w:p>
            <w:r>
              <w:t>+1.525</w:t>
            </w:r>
          </w:p>
        </w:tc>
        <w:tc>
          <w:tcPr>
            <w:tcW w:type="dxa" w:w="1958"/>
            <w:tcBorders>
              <w:top w:val="single" w:sz="4" w:color="BDC3C7"/>
              <w:bottom w:val="single" w:sz="4" w:color="BDC3C7"/>
              <w:left w:val="single" w:sz="4" w:color="BDC3C7"/>
              <w:right w:val="single" w:sz="4" w:color="BDC3C7"/>
            </w:tcBorders>
          </w:tcPr>
          <w:p>
            <w:r>
              <w:t>0.40</w:t>
            </w:r>
          </w:p>
        </w:tc>
      </w:tr>
    </w:tbl>
    <w:p>
      <w:r>
        <w:t>Priced in: likely — Variant (+0.0%) within implied move noise (1.8%)</w:t>
      </w:r>
    </w:p>
    <w:p>
      <w:r>
        <w:t>Edge verdict: NO_CLEAR_EDGE (score 0.000).</w:t>
      </w:r>
    </w:p>
    <w:p>
      <w:pPr>
        <w:pStyle w:val="SectionHeading"/>
      </w:pPr>
      <w:r>
        <w:t>4. Catalysts</w:t>
      </w:r>
    </w:p>
    <w:p>
      <w:pPr>
        <w:pStyle w:val="ListBullet"/>
      </w:pPr>
      <w:r>
        <w:t>Next quarterly earnings report (2026-07-28 (18 days)) — resolves revenue + margins + guidance; confirms or challenges</w:t>
      </w:r>
    </w:p>
    <w:p>
      <w:pPr>
        <w:pStyle w:val="ListBullet"/>
      </w:pPr>
      <w:r>
        <w:t>Resolution: Corning's operating margins will expand meaningfully above 20% in FY2027 as Sola (Multi-year thesis -- patience required) — resolves Cost of Revenue; confirms or challenges</w:t>
      </w:r>
    </w:p>
    <w:p>
      <w:pPr>
        <w:pStyle w:val="ListBullet"/>
      </w:pPr>
      <w:r>
        <w:t>Resolution: Three hyperscaler agreements (Meta + two undisclosed) provide durable, high-visi (Multi-year thesis -- patience required) — resolves FY2027 Revenue Growth; confirms or challenges</w:t>
      </w:r>
    </w:p>
    <w:p>
      <w:pPr>
        <w:pStyle w:val="ListBullet"/>
      </w:pPr>
      <w:r>
        <w:t>Resolution: Insider selling is routine diversification and does not signal fundamental conce (Multi-year thesis -- patience required) — resolves FY2027 Revenue Growth; confirms or challenges</w:t>
      </w:r>
    </w:p>
    <w:p>
      <w:pPr>
        <w:pStyle w:val="ListBullet"/>
      </w:pPr>
      <w:r>
        <w:t>Specific volume commitments (minimum purchase obligations) versus ceiling amounts in the Meta and tw (Unknown timing) — resolves multiple; resolves uncertainty</w:t>
      </w:r>
    </w:p>
    <w:p>
      <w:pPr>
        <w:pStyle w:val="ListBullet"/>
      </w:pPr>
      <w:r>
        <w:t>Management commentary on input cost (silica, energy, specialty chemicals) pass-through mechanisms an (Unknown timing) — resolves multiple; resolves uncertainty</w:t>
      </w:r>
    </w:p>
    <w:p>
      <w:pPr>
        <w:pStyle w:val="SectionHeading"/>
      </w:pPr>
      <w:r>
        <w:t>5. Risks, Blind Spots &amp; Kill Criteria</w:t>
      </w:r>
    </w:p>
    <w:p>
      <w:pPr>
        <w:pStyle w:val="SubHeading"/>
      </w:pPr>
      <w:r>
        <w:t>Top risks:</w:t>
      </w:r>
    </w:p>
    <w:p>
      <w:pPr>
        <w:pStyle w:val="ListBullet"/>
      </w:pPr>
      <w:r>
        <w:t>Insider selling is routine diversification and does not signal fundamental concerns about the business. — counter: The breadth and magnitude of insider selling is unusual: 15 insiders sold a combined ~$90M+ over 180 days, including the CCDO selling 83.8% of his stake and the Controller selling 74.6%. The SVP of Solar (Li Fang) sold 52.9% of her stake in February 2026 — before the Q2 solar shutdown was disclosed — which could indicate early awareness of operational challenges. The Seeking Alpha headline 'Corning: 30% Cheaper Is Not Good Enough' suggests some sophisticated investors view the valuation as still stretched even after the drawdown. [serious]</w:t>
      </w:r>
    </w:p>
    <w:p>
      <w:pPr>
        <w:pStyle w:val="ListBullet2"/>
      </w:pPr>
      <w:r>
        <w:rPr>
          <w:i/>
        </w:rPr>
        <w:t>→ Research [UPDATES]: Zhang sold $4.75M across two May 2026 transactions (15K shares at $184.67 on May 6, 10K at $198.34 on May 11), not single $4.96M sale at $186.88. Becker's $3.95M sale (21K shares at $188.08, May 8) and 74.3% stake reduction confirmed. Both were open-market sales, not disclosed as 10b5-1 plan trades. (investing.com)</w:t>
      </w:r>
    </w:p>
    <w:p>
      <w:pPr>
        <w:pStyle w:val="ListBullet2"/>
      </w:pPr>
      <w:r>
        <w:rPr>
          <w:i/>
        </w:rPr>
        <w:t>→ Research [CONTRADICTS]: No $40M discretionary sale at $168.46 found. The closest match is a 165,622-share tax-withholding transaction at $168.27 (F-code, not open-market). Form 4 filings show no 10b5-1 plan checkbox marked for Weeks' transactions. (stocktitan.net)</w:t>
      </w:r>
    </w:p>
    <w:p>
      <w:pPr>
        <w:pStyle w:val="ListBullet"/>
      </w:pPr>
      <w:r>
        <w:t>Corning's operating margins will expand meaningfully above 20% in FY2027 as Solar ramp costs normalize and Optical mix-shift benefits flow through. — counter: PPI inflation of 13.1% YoY (FRED, May 2026) represents a significant input cost headwind for a glass and specialty materials manufacturer. Management has not addressed input cost pass-through mechanisms in available transcripts, and the FY2025 GAAP cost of revenue of 64.7% is already elevated. If Corning cannot pass through silica, energy, and chemical cost increases — constrained by long-term pricing agreements with hyperscalers — gross margin expansion could be offset or reversed. Additionally, the Q1 2026 GAAP gross margin of 36.9% is 220bps below the core gross margin of 39.1%, and the gap may widen if GAAP adjustments increase with the Springboard extension. [moderate]</w:t>
      </w:r>
    </w:p>
    <w:p>
      <w:pPr>
        <w:pStyle w:val="ListBullet2"/>
      </w:pPr>
      <w:r>
        <w:rPr>
          <w:i/>
        </w:rPr>
        <w:t>→ Research: Search confirms Corning uses multi-year supply agreements covering $5.6B of 2025 revenue and hedges raw material costs (silica, specialty chemicals saw 8-20% spot swings in 2025). Company also hedged yen exposure through 2030 and maintains pricing power, directly addressing the missing angle on supply contract insulation. (businessmodelcanvastemplate.com)</w:t>
      </w:r>
    </w:p>
    <w:p>
      <w:pPr>
        <w:pStyle w:val="ListBullet"/>
      </w:pPr>
      <w:r>
        <w:t>Three hyperscaler agreements (Meta + two undisclosed) provide durable, high-visibility revenue through 2027-2028. — counter: The Meta agreement is described as 'up-to-$6 billion' — a ceiling, not a floor or committed minimum. Management's language around risk-sharing ('how do we appropriately share the risk of any of our investments in talent and treasure') suggests the agreements may include volume optionality rather than firm take-or-pay commitments. If hyperscaler AI capex cycles slow (a risk given the macro backdrop of consumer sentiment at 44.8 and potential enterprise spending caution), the 'up-to' ceiling may not be reached. The CEO's sale of $40M of stock (19.1% of stake) at an average price of $168.46 — below the current ~$196 level — could be interpreted as management not fully believing in the hyperscaler revenue ramp at higher valuations. [moderate]</w:t>
      </w:r>
    </w:p>
    <w:p>
      <w:pPr>
        <w:pStyle w:val="ListBullet2"/>
      </w:pPr>
      <w:r>
        <w:rPr>
          <w:i/>
        </w:rPr>
        <w:t>→ Research: Corning has disclosed two additional undisclosed hyperscaler agreements at similar scale to Meta's $6B deal, but sources confirm Amazon and Microsoft are separately named. Identity of the two unnamed hyperscalers remains officially undisclosed, creating material customer concentration and renewal risk asymmetry depending on whether they are tier-1 (Google/OpenAI) vs. smaller cloud players. (ebc.com)</w:t>
      </w:r>
    </w:p>
    <w:p>
      <w:pPr>
        <w:pStyle w:val="KillCriteria"/>
      </w:pPr>
      <w:r>
        <w:t>What would change our mind: Print on FY2027 Revenue Growth.Solar Segment Revenue Growth comes in below our +27.0 figure (toward street +1.5) in the next 1-2 prints.</w:t>
      </w:r>
    </w:p>
    <w:p>
      <w:pPr>
        <w:pStyle w:val="SectionHeading"/>
      </w:pPr>
      <w:r>
        <w:t>Appendix</w:t>
      </w:r>
    </w:p>
    <w:p>
      <w:pPr>
        <w:pStyle w:val="SubHeading"/>
      </w:pPr>
      <w:r>
        <w:t>Business context:</w:t>
      </w:r>
    </w:p>
    <w:p>
      <w:r>
        <w:t>Corning Incorporated is a materials science company that manufactures specialty glass, ceramics, and optical fiber products across five segments: Optical Communications, Glass Innovations (display + specialty materials), Solar, Automotive, and Life Sciences/Emerging Growth. Revenue is generated through long-term supply agreements with hyperscalers, consumer electronics OEMs, display panel makers, and automotive manufacturers, with the optical communications segment now the dominant growth engine driven by AI data center infrastructure buildout.</w:t>
      </w:r>
    </w:p>
    <w:p>
      <w:pPr>
        <w:pStyle w:val="SubHeading"/>
      </w:pPr>
      <w:r>
        <w:t>Evidence gaps (research TODO):</w:t>
      </w:r>
    </w:p>
    <w:p>
      <w:pPr>
        <w:pStyle w:val="ListBullet"/>
      </w:pPr>
      <w:r>
        <w:t>Specific volume commitments (minimum purchase obligations) versus ceiling amounts in the Meta and two additional hyperscaler agreements — the 'up-to' language creates significant revenue uncertainty that cannot be resolved from public disclosures.</w:t>
      </w:r>
    </w:p>
    <w:p>
      <w:pPr>
        <w:pStyle w:val="ListBullet"/>
      </w:pPr>
      <w:r>
        <w:t>Management commentary on input cost (silica, energy, specialty chemicals) pass-through mechanisms and the impact of 13.1% PPI inflation on FY2026-2027 gross margins — this is entirely absent from available transcripts.</w:t>
      </w:r>
    </w:p>
    <w:p>
      <w:pPr>
        <w:pStyle w:val="ListBullet"/>
      </w:pPr>
      <w:r>
        <w:t>Segment-level gross margin disclosure for Optical Communications versus Solar versus Glass Innovations — management reports net income margin for Optical (18%) but not gross margin, making the CPO mix-shift benefit impossible to quantify precisely.</w:t>
      </w:r>
    </w:p>
    <w:p>
      <w:pPr>
        <w:pStyle w:val="ListBullet"/>
      </w:pPr>
      <w:r>
        <w:t>The identity and specific terms of the two additional hyperscaler agreements announced in Q1 2026 — described only as 'similar in size and duration' to the Meta deal, with no customer names or specific financial terms disclosed.</w:t>
      </w:r>
    </w:p>
    <w:p>
      <w:pPr>
        <w:pStyle w:val="ListBullet"/>
      </w:pPr>
      <w:r>
        <w:t>May 6, 2026 investor day materials (Springboard upgrade through 2030, new Photonics Market-Access Platform) — referenced in transcripts but not available in the corpus, potentially containing specific revenue and margin targets that would significantly sharpen FY2027 estimates.</w:t>
      </w:r>
    </w:p>
    <w:p>
      <w:pPr>
        <w:pStyle w:val="ListBullet"/>
      </w:pPr>
      <w:r>
        <w:t>The specific catalyst for the unexplained 6-8% premarket surge on July 9, 2026 (retail flagged as a management-silence item) — possibly an undisclosed customer agreement or contract announcement that would be material to the revenue thesis.</w:t>
      </w:r>
    </w:p>
    <w:p>
      <w:pPr>
        <w:pStyle w:val="ListBullet"/>
      </w:pPr>
      <w:r>
        <w:t>Corning's hedging strategy for FX exposure beyond 2026 — management mentioned hedges through 2030 for display glass yen exposure, but the impact on GAAP vs. core revenue reconciliation for FY2027 is unclear.</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