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KRUS — KRUS</w:t>
      </w:r>
    </w:p>
    <w:p>
      <w:pPr>
        <w:pStyle w:val="SmallMeta"/>
      </w:pPr>
      <w:r>
        <w:t>As of 2026-06-22  |  Schema: restaurant  |  Data: polygon+alpha_vantage (FY2025)</w:t>
      </w:r>
    </w:p>
    <w:p>
      <w:pPr>
        <w:pStyle w:val="SubHeading"/>
      </w:pPr>
      <w:r>
        <w:rPr>
          <w:color w:val="8C1D40"/>
        </w:rPr>
        <w:t>Direction: SHORT | Current: $49.38</w:t>
      </w:r>
    </w:p>
    <w:p>
      <w:pPr>
        <w:pStyle w:val="SubHeading"/>
      </w:pPr>
      <w:r>
        <w:t>Summary</w:t>
      </w:r>
    </w:p>
    <w:p>
      <w:pPr>
        <w:pStyle w:val="ListBullet"/>
      </w:pPr>
      <w:r>
        <w:t>Thesis: The street's FY2026 EPS consensus of -$0.13 and FY2027 consensus of +$0.27 both underweight two compounding factors: (1) management's institutionalized guidance conservatism — documented across three consecutive quarters of beats — means the FY2026 restaurant-level margin guide of 18-18.5% is likely a floor, not a ceiling, with Q3 QTD commentary ('happy with how Q3 has performed so far') already signaling another beat; and (2) the FY2027 consensus revenue estimate of $403M embeds ~20.6% growth that is actually conservative relative to the unit-growth math (16+ new units on a growing base) plus a comp tailwind from geographic mix shift away from high-labor-cost California markets — a structural margin lever management explicitly flagged in Q2 2026 but the street has not modeled into FY2027 margin.</w:t>
      </w:r>
    </w:p>
    <w:p>
      <w:pPr>
        <w:pStyle w:val="ListBullet"/>
      </w:pPr>
      <w:r>
        <w:t>Next catalyst: Next quarterly earnings report (2026-07-07 (15 days))</w:t>
      </w:r>
    </w:p>
    <w:p>
      <w:pPr>
        <w:pStyle w:val="ListBullet"/>
      </w:pPr>
      <w:r>
        <w:t>Top risk: Q2 2026's +8.6% SSS represents a durable comp recovery</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EXTRAORDINARY VARIANT: our EPS $0.02 is 116% above consensus $-0.13 (after 3 bear/bull revision(s)). Claims this extreme require specific named catastrophic (or windfall) mechanisms — review the brief + adversarial output and confirm the thesis supports this magnitude, or treat the number as mis-calibrated.</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$-0.02</w:t>
            </w:r>
          </w:p>
        </w:tc>
        <w:tc>
          <w:tcPr>
            <w:tcW w:type="dxa" w:w="1399"/>
            <w:tcBorders>
              <w:top w:val="single" w:sz="4" w:color="BDC3C7"/>
              <w:bottom w:val="single" w:sz="4" w:color="BDC3C7"/>
              <w:left w:val="single" w:sz="4" w:color="BDC3C7"/>
              <w:right w:val="single" w:sz="4" w:color="BDC3C7"/>
            </w:tcBorders>
          </w:tcPr>
          <w:p>
            <w:r>
              <w:t>$-0.10 – $0.03</w:t>
            </w:r>
          </w:p>
        </w:tc>
        <w:tc>
          <w:tcPr>
            <w:tcW w:type="dxa" w:w="1399"/>
            <w:tcBorders>
              <w:top w:val="single" w:sz="4" w:color="BDC3C7"/>
              <w:bottom w:val="single" w:sz="4" w:color="BDC3C7"/>
              <w:left w:val="single" w:sz="4" w:color="BDC3C7"/>
              <w:right w:val="single" w:sz="4" w:color="BDC3C7"/>
            </w:tcBorders>
          </w:tcPr>
          <w:p>
            <w:r>
              <w:t>6</w:t>
            </w:r>
          </w:p>
        </w:tc>
        <w:tc>
          <w:tcPr>
            <w:tcW w:type="dxa" w:w="1399"/>
            <w:tcBorders>
              <w:top w:val="single" w:sz="4" w:color="BDC3C7"/>
              <w:bottom w:val="single" w:sz="4" w:color="BDC3C7"/>
              <w:left w:val="single" w:sz="4" w:color="BDC3C7"/>
              <w:right w:val="single" w:sz="4" w:color="BDC3C7"/>
            </w:tcBorders>
          </w:tcPr>
          <w:p>
            <w:r>
              <w:t>-144.4%</w:t>
            </w:r>
          </w:p>
        </w:tc>
        <w:tc>
          <w:tcPr>
            <w:tcW w:type="dxa" w:w="1399"/>
            <w:tcBorders>
              <w:top w:val="single" w:sz="4" w:color="BDC3C7"/>
              <w:bottom w:val="single" w:sz="4" w:color="BDC3C7"/>
              <w:left w:val="single" w:sz="4" w:color="BDC3C7"/>
              <w:right w:val="single" w:sz="4" w:color="BDC3C7"/>
            </w:tcBorders>
          </w:tcPr>
          <w:p>
            <w:r>
              <w:t>↓ -0.025</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$0.18</w:t>
            </w:r>
          </w:p>
        </w:tc>
        <w:tc>
          <w:tcPr>
            <w:tcW w:type="dxa" w:w="1399"/>
            <w:tcBorders>
              <w:top w:val="single" w:sz="4" w:color="BDC3C7"/>
              <w:bottom w:val="single" w:sz="4" w:color="BDC3C7"/>
              <w:left w:val="single" w:sz="4" w:color="BDC3C7"/>
              <w:right w:val="single" w:sz="4" w:color="BDC3C7"/>
            </w:tcBorders>
          </w:tcPr>
          <w:p>
            <w:r>
              <w:t>$0.14 – $0.23</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-12.4%</w:t>
            </w:r>
          </w:p>
        </w:tc>
        <w:tc>
          <w:tcPr>
            <w:tcW w:type="dxa" w:w="1399"/>
            <w:tcBorders>
              <w:top w:val="single" w:sz="4" w:color="BDC3C7"/>
              <w:bottom w:val="single" w:sz="4" w:color="BDC3C7"/>
              <w:left w:val="single" w:sz="4" w:color="BDC3C7"/>
              <w:right w:val="single" w:sz="4" w:color="BDC3C7"/>
            </w:tcBorders>
          </w:tcPr>
          <w:p>
            <w:r>
              <w:t>↑ +0.009</w:t>
            </w:r>
          </w:p>
        </w:tc>
        <w:tc>
          <w:tcPr>
            <w:tcW w:type="dxa" w:w="1399"/>
            <w:tcBorders>
              <w:top w:val="single" w:sz="4" w:color="BDC3C7"/>
              <w:bottom w:val="single" w:sz="4" w:color="BDC3C7"/>
              <w:left w:val="single" w:sz="4" w:color="BDC3C7"/>
              <w:right w:val="single" w:sz="4" w:color="BDC3C7"/>
            </w:tcBorders>
          </w:tcPr>
          <w:p>
            <w:r>
              <w:t>↑1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$-0.13</w:t>
            </w:r>
          </w:p>
        </w:tc>
        <w:tc>
          <w:tcPr>
            <w:tcW w:type="dxa" w:w="1399"/>
            <w:tcBorders>
              <w:top w:val="single" w:sz="4" w:color="BDC3C7"/>
              <w:bottom w:val="single" w:sz="4" w:color="BDC3C7"/>
              <w:left w:val="single" w:sz="4" w:color="BDC3C7"/>
              <w:right w:val="single" w:sz="4" w:color="BDC3C7"/>
            </w:tcBorders>
          </w:tcPr>
          <w:p>
            <w:r>
              <w:t>$-0.19 – $-0.08</w:t>
            </w:r>
          </w:p>
        </w:tc>
        <w:tc>
          <w:tcPr>
            <w:tcW w:type="dxa" w:w="1399"/>
            <w:tcBorders>
              <w:top w:val="single" w:sz="4" w:color="BDC3C7"/>
              <w:bottom w:val="single" w:sz="4" w:color="BDC3C7"/>
              <w:left w:val="single" w:sz="4" w:color="BDC3C7"/>
              <w:right w:val="single" w:sz="4" w:color="BDC3C7"/>
            </w:tcBorders>
          </w:tcPr>
          <w:p>
            <w:r>
              <w:t>6</w:t>
            </w:r>
          </w:p>
        </w:tc>
        <w:tc>
          <w:tcPr>
            <w:tcW w:type="dxa" w:w="1399"/>
            <w:tcBorders>
              <w:top w:val="single" w:sz="4" w:color="BDC3C7"/>
              <w:bottom w:val="single" w:sz="4" w:color="BDC3C7"/>
              <w:left w:val="single" w:sz="4" w:color="BDC3C7"/>
              <w:right w:val="single" w:sz="4" w:color="BDC3C7"/>
            </w:tcBorders>
          </w:tcPr>
          <w:p>
            <w:r>
              <w:t>-530.7%</w:t>
            </w:r>
          </w:p>
        </w:tc>
        <w:tc>
          <w:tcPr>
            <w:tcW w:type="dxa" w:w="1399"/>
            <w:tcBorders>
              <w:top w:val="single" w:sz="4" w:color="BDC3C7"/>
              <w:bottom w:val="single" w:sz="4" w:color="BDC3C7"/>
              <w:left w:val="single" w:sz="4" w:color="BDC3C7"/>
              <w:right w:val="single" w:sz="4" w:color="BDC3C7"/>
            </w:tcBorders>
          </w:tcPr>
          <w:p>
            <w:r>
              <w:t>↓ -0.012</w:t>
            </w:r>
          </w:p>
        </w:tc>
        <w:tc>
          <w:tcPr>
            <w:tcW w:type="dxa" w:w="1399"/>
            <w:tcBorders>
              <w:top w:val="single" w:sz="4" w:color="BDC3C7"/>
              <w:bottom w:val="single" w:sz="4" w:color="BDC3C7"/>
              <w:left w:val="single" w:sz="4" w:color="BDC3C7"/>
              <w:right w:val="single" w:sz="4" w:color="BDC3C7"/>
            </w:tcBorders>
          </w:tcPr>
          <w:p>
            <w:r>
              <w:t>↑0 / ↓2</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$0.27</w:t>
            </w:r>
          </w:p>
        </w:tc>
        <w:tc>
          <w:tcPr>
            <w:tcW w:type="dxa" w:w="1399"/>
            <w:tcBorders>
              <w:top w:val="single" w:sz="4" w:color="BDC3C7"/>
              <w:bottom w:val="single" w:sz="4" w:color="BDC3C7"/>
              <w:left w:val="single" w:sz="4" w:color="BDC3C7"/>
              <w:right w:val="single" w:sz="4" w:color="BDC3C7"/>
            </w:tcBorders>
          </w:tcPr>
          <w:p>
            <w:r>
              <w:t>$0.12 – $0.55</w:t>
            </w:r>
          </w:p>
        </w:tc>
        <w:tc>
          <w:tcPr>
            <w:tcW w:type="dxa" w:w="1399"/>
            <w:tcBorders>
              <w:top w:val="single" w:sz="4" w:color="BDC3C7"/>
              <w:bottom w:val="single" w:sz="4" w:color="BDC3C7"/>
              <w:left w:val="single" w:sz="4" w:color="BDC3C7"/>
              <w:right w:val="single" w:sz="4" w:color="BDC3C7"/>
            </w:tcBorders>
          </w:tcPr>
          <w:p>
            <w:r>
              <w:t>8</w:t>
            </w:r>
          </w:p>
        </w:tc>
        <w:tc>
          <w:tcPr>
            <w:tcW w:type="dxa" w:w="1399"/>
            <w:tcBorders>
              <w:top w:val="single" w:sz="4" w:color="BDC3C7"/>
              <w:bottom w:val="single" w:sz="4" w:color="BDC3C7"/>
              <w:left w:val="single" w:sz="4" w:color="BDC3C7"/>
              <w:right w:val="single" w:sz="4" w:color="BDC3C7"/>
            </w:tcBorders>
          </w:tcPr>
          <w:p>
            <w:r>
              <w:t>+311.0%</w:t>
            </w:r>
          </w:p>
        </w:tc>
        <w:tc>
          <w:tcPr>
            <w:tcW w:type="dxa" w:w="1399"/>
            <w:tcBorders>
              <w:top w:val="single" w:sz="4" w:color="BDC3C7"/>
              <w:bottom w:val="single" w:sz="4" w:color="BDC3C7"/>
              <w:left w:val="single" w:sz="4" w:color="BDC3C7"/>
              <w:right w:val="single" w:sz="4" w:color="BDC3C7"/>
            </w:tcBorders>
          </w:tcPr>
          <w:p>
            <w:r>
              <w:t>↓ -0.011</w:t>
            </w:r>
          </w:p>
        </w:tc>
        <w:tc>
          <w:tcPr>
            <w:tcW w:type="dxa" w:w="1399"/>
            <w:tcBorders>
              <w:top w:val="single" w:sz="4" w:color="BDC3C7"/>
              <w:bottom w:val="single" w:sz="4" w:color="BDC3C7"/>
              <w:left w:val="single" w:sz="4" w:color="BDC3C7"/>
              <w:right w:val="single" w:sz="4" w:color="BDC3C7"/>
            </w:tcBorders>
          </w:tcPr>
          <w:p>
            <w:r>
              <w:t>↑0 / ↓2</w:t>
            </w:r>
          </w:p>
        </w:tc>
      </w:tr>
    </w:tbl>
    <w:p>
      <w:r>
        <w:t>Revenue consensus: Q $0.09B (+16.8%)  |  Q+1 $0.09B (+18.4%)  |  FY $0.33B (+18.1%)  |  FY+1 $0.40B (+20.6%)</w:t>
      </w:r>
    </w:p>
    <w:p>
      <w:r>
        <w:t>Price targets: Mean $78.70  |  Median $80.50  |  Range $58.00–$95.00  |  Current $49.38 (+59.4% to mean)</w:t>
      </w:r>
    </w:p>
    <w:p>
      <w:r>
        <w:t>Analyst ratings (n=11): Strong Buy 0 · Buy 7 · Hold 4 · Sell 0 · Strong Sell 0  ·  64% bullish</w:t>
      </w:r>
    </w:p>
    <w:p>
      <w:r>
        <w:t>Next earnings: 2026-07-07 (15d out)  ·  EPS $-0.02 ($-0.10–$0.03)  ·  Rev $0.09B</w:t>
      </w:r>
    </w:p>
    <w:p>
      <w:pPr>
        <w:pStyle w:val="SectionHeading"/>
      </w:pPr>
      <w:r>
        <w:t>1. Research Synthesis</w:t>
      </w:r>
    </w:p>
    <w:p>
      <w:r>
        <w:t>Kura Sushi's FY2026 setup is best understood as a business that got materially better operationally while the stock has been punished for GAAP losses that obscure the underlying restaurant-level economics. The structured financials show FY2025 GAAP operating income of -$4.8M on $282.8M revenue, a -1.7% GAAP operating margin. But this GAAP figure includes D&amp;A of $14.0M and SG&amp;A of $37.7M (13.3% of revenue) — the restaurant-level operating profit, which management now guides at 18-18.5% for FY2026, is the economically meaningful margin for a unit-growth story. The reconciliation matters: at 18.25% restaurant-level margin on $334M guided revenue, restaurant-level profit is approximately $61M. Subtract guided G&amp;A of ~12% of sales (~$40M) and D&amp;A (growing with the unit base, call it ~$16M), and GAAP operating income approaches breakeven to slightly positive — consistent with the consensus FY2026 EPS of -$0.13 but with meaningful upside if margins beat the guide midpoint.</w:t>
      </w:r>
    </w:p>
    <w:p>
      <w:r>
        <w:t>The critical analytical question is whether the Q2 2026 labor leverage is structural or a one-quarter anomaly. The data supports structural: Q2 2026 labor was 30.7% of sales vs. 34.8% in Q2 2025, a 410bps improvement. Q1 2026 labor was 32.5% vs. 32.9% in Q1 2025, a 40bps improvement. The sequential acceleration from 40bps to 410bps of labor improvement is not seasonal — it reflects the compounding of three specific mechanisms management cited: (1) operational efficiencies from the DC robotic dishwasher program (~50bps per the Q2 2026 call), (2) pricing leverage (4.5% effective pricing in Q2 2026 spreading fixed labor costs over higher revenue), and (3) the 8.6% comp itself creating volume leverage on a largely fixed labor base. Management called this 'record-breaking labor leverage' in the Q2 2026 prepared remarks, and the CFO raised the full-year restaurant-level margin guide from 'approximately 18%' (Q4 2025 and Q1 2026 language) to '18 to 18.5%' (Q2 2026). The guidance raise is the tell — management only raises when they have visibility, and their track record of conservative guidance (explicitly referencing a prior traumatic raise-then-cut episode in the Q2 2026 Q&amp;A) means the 18.5% ceiling is likely understated.</w:t>
      </w:r>
    </w:p>
    <w:p>
      <w:pPr>
        <w:pStyle w:val="ListBullet"/>
      </w:pPr>
      <w:r>
        <w:rPr>
          <w:i/>
        </w:rPr>
        <w:t>→ Research [UPDATES]: Q2 2026 call confirms 50bps dishwasher labor benefit, but specifies this is an incremental FY2027 benefit versus FY2026 ending level, not a Q2 2026 operational achievement. The 410bps Q2 labor improvement was driven by sales leverage and operational efficiencies, not the dishwasher program. (defenseworld.net)</w:t>
      </w:r>
    </w:p>
    <w:p>
      <w:r>
        <w:t>The guidance beat history is the strongest evidence for the edge. Applying the GUIDANCE BEAT HISTORY discipline: Q1 2026 SSS was guided 'negative mid-single digits' and came in at -2.5% (a ~250bps beat). Q2 2026 SSS was guided 'modestly positive' and came in at +8.6% (a ~600-700bps beat). The pattern is not random — management explicitly acknowledged in the Q2 2026 Q&amp;A that their guidance philosophy is to 'add the upside from Q2, but not to extrapolate further from that,' citing geopolitical uncertainty as the rationale. The analyst from TD Cowen (Andrew Charles) directly challenged this on the Q2 call: 'I was a bit surprised, you know, following the big 2Q, same sort of sales beat, that revenue guidance was inched up... does that reflect conservatism in the back half of the year?' Management's response confirmed the sandbagging: 'It doesn't reflect conservatism or pessimism. It's just prudence.' This is a documented, institutionalized guidance conservatism — not a one-time hedge. The Q3 2026 QTD commentary ('We're happy with how Q3 has performed so far') is consistent with another beat in progress, and the next earnings print is scheduled for July 14, 2026 per the StockTwits data.</w:t>
      </w:r>
    </w:p>
    <w:p>
      <w:pPr>
        <w:pStyle w:val="ListBullet"/>
      </w:pPr>
      <w:r>
        <w:rPr>
          <w:i/>
        </w:rPr>
        <w:t>→ Research [CONTRADICTS]: Search results confirm Q3 2026 earnings announcement is scheduled for July 7, 2026, not July 14, 2026 as claimed. The earnings release occurs after market close on July 7 with conference call at 5:00 p.m. ET same day. (kurausa.com)</w:t>
      </w:r>
    </w:p>
    <w:p>
      <w:r>
        <w:t>The sequential trajectory discipline requires checking whether Q1's -2.5% comp was seasonally normal or a real break. From the historical quarterly financials: Q1 2026 revenue was $73.5M vs. Q4 2025's $79.4M, a -7.5% sequential decline. Prior year: Q1 2025 revenue was $64.5M vs. Q4 2024's $66M, a -2.3% sequential decline. This means Q1 2026's sequential decline was materially worse than the prior-year seasonal pattern (-7.5% vs. -2.3%), a -5.2pp delta. However, this is explained by the comp comparison dynamic management flagged — Q1 2026 faced a -2.5% SSS comp while Q1 2025 faced a +25.2% YoY revenue growth base. The underlying business was not deteriorating; the sequential weakness was comparison-driven. By Q2 2026, the YoY revenue growth reaccelerated to +23.3% ($80M vs. $64.9M), confirming the sequential Q1 weakness was transient. This is exactly the pattern management guided at the Q4 2025 call when they pre-disclosed negative mid-single-digit Q1 comps.</w:t>
      </w:r>
    </w:p>
    <w:p>
      <w:r>
        <w:t>The FY2027 consensus revenue estimate of $403M (+20.6% YoY from $334M FY2026 guide) deserves scrutiny. The unit math: KRUS ends FY2026 with approximately 80+ units (starting FY2026 with ~67 units, adding 16 new ones). At a system AUV of roughly $4M (implied by ~$334M / ~83 units), 16 new units at 75% first-year productivity contribute approximately $48M of incremental revenue in FY2027 (16 × $4M × 75%). Existing store SSS of even +3-4% on $334M adds another $10-13M. Total FY2027 revenue on this math is approximately $392-$395M — slightly below the $403M consensus, suggesting the street is embedding either higher SSS or higher new unit productivity. The more interesting FY2027 angle is margin: management explicitly flagged in the Q2 2026 call that 'after next year, we'll be able to open it to the new market, and we'll be able to reduce the impact of the carnival' — a reference to California's high minimum wage environment ('carnival' appears to be a translation artifact for 'California'). Geographic diversification into lower-labor-cost markets is a structural FY2027 margin tailwind the street has not quantified, because management only disclosed it obliquely in a translated Q&amp;A response. At 4.0% YoY leisure &amp; hospitality wage growth (BLS data as of May 2026) vs. 4.5% effective menu pricing, the pricing/labor spread is currently positive — and expanding into non-California markets widens that spread further.</w:t>
      </w:r>
    </w:p>
    <w:p>
      <w:pPr>
        <w:pStyle w:val="ListBullet"/>
      </w:pPr>
      <w:r>
        <w:rPr>
          <w:i/>
        </w:rPr>
        <w:t>→ Research [UPDATES]: Company guidance confirms 16 new openings for FY2026 and maintains unit growth above 20%. As of Q2 2026 (Feb 28), 88 units were operating (84 at period end plus 4 opened post-period), tracking toward ~98 units if 16 openings complete—exceeding the 80+ target. Starting unit count was 82 (FY2025 end), not 67. (sec.gov)</w:t>
      </w:r>
    </w:p>
    <w:p>
      <w:pPr>
        <w:pStyle w:val="ListBullet"/>
      </w:pPr>
      <w:r>
        <w:rPr>
          <w:i/>
        </w:rPr>
        <w:t>→ Research: AB 1228 established $20/hour fast-food minimum wage effective April 2024 with annual increases capped at 3.5% or CPI through 2029. KRUS operates sushi restaurants (not traditional fast food) but competes for labor in California's affected market; independent sushi operators report wage pressure from $20 fast-food wage floor despite exemption from AB 1228. (hrexecutive.com)</w:t>
      </w:r>
    </w:p>
    <w:p>
      <w:r>
        <w:t>The macro context is mixed but not catastrophic for KRUS's specific positioning. University of Michigan consumer sentiment is at 49.8 (April 2026), down 4.6% YoY — a genuine headwind for discretionary dining. However, the personal saving rate of 2.6% (down 52.7% YoY) and real disposable personal income up +5.8% YoY (BEA data) suggest consumers are spending, not retrenching. The food-away-from-home CPI is up +3.5% YoY (BLS May 2026), which is below KRUS's 4.5% effective pricing — meaning KRUS is taking price above the industry average, which is a risk if traffic elasticity kicks in, but the Q2 2026 traffic comp of +4.3% suggests no elasticity problem yet. The PPI (all commodities) is up +13.1% YoY, which is the real food cost risk — management's 30% food cost guidance assumes this doesn't worsen, and the Q2 2026 disclosure that 'minor relief due to changes in tariff types have been offset by commodity inflation' is the most bearish data point in the corpus. If PPI commodity inflation accelerates, the 30% food cost floor could become a ceiling that compresses restaurant-level margins back toward 17-17.5%.</w:t>
      </w:r>
    </w:p>
    <w:p>
      <w:r>
        <w:t>On ownership and positioning: Kura Sushi Inc. (the Japanese parent) holds ~52.8% of shares, creating a thin float of approximately 5.2M shares. Short interest is 27% of float — a very high level for a small-cap restaurant. This is the most important setup signal in the corpus. The shorts are positioned against a stock where: (1) management just raised guidance, (2) Q3 QTD commentary is positive, (3) the next earnings print is July 14, 2026, and (4) the institutional crowding score is 0/100 (NORMAL — not crowded long). The high short interest combined with low institutional crowding and a thin float creates asymmetric squeeze risk into the July 14 print if Q3 beats. The credit regime is RISK-ON (HY buying both today and on a 30-day basis per FINRA data), which is a supportive backdrop for small-cap re-rating. One material insider event: CEO Hajime Uba sold $0.72M of stock (9,874 shares, ~50% of his stake) on January 16, 2026 at $72.93/share. This is a notable disposition — selling half his personal stake — though the timing (mid-Q2, before the strong Q2 results were known) reduces the informational content somewhat. The CFO departure (flagged by analyst commentary on the Q2 call: 'Jeff, all the best in your new role') is a modest negative — CFO transitions at small-cap restaurants can create guidance continuity risk, though management explicitly confirmed guidance practices are unchanged.</w:t>
      </w:r>
    </w:p>
    <w:p>
      <w:pPr>
        <w:pStyle w:val="ListBullet"/>
      </w:pPr>
      <w:r>
        <w:rPr>
          <w:i/>
        </w:rPr>
        <w:t>→ Research [UPDATES]: Sale confirmed for 9,874 shares on January 16, 2026 at $72.93/share ($720,111 total), but ownership reduction was 62.10% (not ~50% as claimed). Post-sale holdings: 6,026 shares. (themarketsdaily.com)</w:t>
      </w:r>
    </w:p>
    <w:p>
      <w:pPr>
        <w:pStyle w:val="ListBullet"/>
      </w:pPr>
      <w:r>
        <w:rPr>
          <w:i/>
        </w:rPr>
        <w:t>→ Research [CONTRADICTS]: Parent ownership is confirmed at ~52.8% (1M Class B shares of 12.1M total), but float math is materially wrong. With 11.1M Class A shares outstanding, float is ~11.1M, not 5.2M. Short interest is 26.53% of float (1.78M shares), not 27%—a minor delta, but the float error invalidates squeeze thesis. (dcf-model.com)</w:t>
      </w:r>
    </w:p>
    <w:p>
      <w:pPr>
        <w:pStyle w:val="ListBullet"/>
      </w:pPr>
      <w:r>
        <w:rPr>
          <w:i/>
        </w:rPr>
        <w:t>→ Research: SEC filings confirm exclusive royalty-bearing license agreement between Kura Sushi Inc. (Japan parent) and Kura Sushi USA, effective August 2019. However, recent analysis explicitly states 'no material royalty stream in the U.S. model,' contradicting the premise of material value extraction via licensing fees. (umbrex.com)</w:t>
      </w:r>
    </w:p>
    <w:p>
      <w:r>
        <w:t>The bear case to this thesis is specific and serious: the Q2 2026 comp of +8.6% was driven by IP collaboration-induced plate attachment ('guests are eating more plates per person'), which is inherently episodic. If the H2 2026 IP calendar is weaker than H2 2025's, the comp could revert toward the +2-3% range that the underlying pricing/traffic baseline supports, which would put the full-year SSS at 'modestly positive' but not the +4-5% implied by the H1 run-rate. Additionally, the commodity inflation disclosure ('minor relief offset by commodity inflation') is a new and specific risk that was absent from prior quarters — if PPI commodity pressure continues at +13.1% YoY, food costs could breach 31% of sales in H2, compressing restaurant-level margins to the low end of the 18-18.5% guide or below. The FY2026 EPS consensus of -$0.13 already embeds some H2 deceleration, so the bear case is not that the street is wrong directionally — it's that the magnitude of the H2 slowdown could be larger than the consensus -$0.13 implies if both SSS and food costs disappoint simultaneously. The falsifier for the bull thesis is the July 14 Q3 print: if Q3 SSS comes in below +3% and food costs are above 31%, the thesis is wrong.</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$-0.02</w:t>
            </w:r>
          </w:p>
        </w:tc>
        <w:tc>
          <w:tcPr>
            <w:tcW w:type="dxa" w:w="3264"/>
            <w:tcBorders>
              <w:top w:val="single" w:sz="4" w:color="BDC3C7"/>
              <w:bottom w:val="single" w:sz="4" w:color="BDC3C7"/>
              <w:left w:val="single" w:sz="4" w:color="BDC3C7"/>
              <w:right w:val="single" w:sz="4" w:color="BDC3C7"/>
            </w:tcBorders>
          </w:tcPr>
          <w:p>
            <w:r>
              <w:t>$86M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$0.18</w:t>
            </w:r>
          </w:p>
        </w:tc>
        <w:tc>
          <w:tcPr>
            <w:tcW w:type="dxa" w:w="3264"/>
            <w:tcBorders>
              <w:top w:val="single" w:sz="4" w:color="BDC3C7"/>
              <w:bottom w:val="single" w:sz="4" w:color="BDC3C7"/>
              <w:left w:val="single" w:sz="4" w:color="BDC3C7"/>
              <w:right w:val="single" w:sz="4" w:color="BDC3C7"/>
            </w:tcBorders>
          </w:tcPr>
          <w:p>
            <w:r>
              <w:t>$94M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$-0.13</w:t>
            </w:r>
          </w:p>
        </w:tc>
        <w:tc>
          <w:tcPr>
            <w:tcW w:type="dxa" w:w="3264"/>
            <w:tcBorders>
              <w:top w:val="single" w:sz="4" w:color="BDC3C7"/>
              <w:bottom w:val="single" w:sz="4" w:color="BDC3C7"/>
              <w:left w:val="single" w:sz="4" w:color="BDC3C7"/>
              <w:right w:val="single" w:sz="4" w:color="BDC3C7"/>
            </w:tcBorders>
          </w:tcPr>
          <w:p>
            <w:r>
              <w:t>$334M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$0.27</w:t>
            </w:r>
          </w:p>
        </w:tc>
        <w:tc>
          <w:tcPr>
            <w:tcW w:type="dxa" w:w="3264"/>
            <w:tcBorders>
              <w:top w:val="single" w:sz="4" w:color="BDC3C7"/>
              <w:bottom w:val="single" w:sz="4" w:color="BDC3C7"/>
              <w:left w:val="single" w:sz="4" w:color="BDC3C7"/>
              <w:right w:val="single" w:sz="4" w:color="BDC3C7"/>
            </w:tcBorders>
          </w:tcPr>
          <w:p>
            <w:r>
              <w:t>$403M</w:t>
            </w:r>
          </w:p>
        </w:tc>
      </w:tr>
    </w:tbl>
    <w:p>
      <w:pPr>
        <w:pStyle w:val="SubHeading"/>
      </w:pPr>
      <w:r>
        <w:t>Management guidance:</w:t>
      </w:r>
    </w:p>
    <w:p>
      <w:pPr>
        <w:pStyle w:val="ListBullet"/>
      </w:pPr>
      <w:r>
        <w:t>Revenue (FY2026): We now expect total sales to be between $333 and $335 million.  — Q2 2026, call, CFO</w:t>
      </w:r>
    </w:p>
    <w:p>
      <w:pPr>
        <w:pStyle w:val="ListBullet"/>
      </w:pPr>
      <w:r>
        <w:t>Same-Store Sales (FY2026): we now expect modestly positive full-year comps  — Q2 2026, call, CEO</w:t>
      </w:r>
    </w:p>
    <w:p>
      <w:pPr>
        <w:pStyle w:val="ListBullet"/>
      </w:pPr>
      <w:r>
        <w:t>Units (FY2026): We expect to open 16 new units, maintaining an annual unit growth rate above 20%.  — Q2 2026, call, CFO</w:t>
      </w:r>
    </w:p>
    <w:p>
      <w:pPr>
        <w:pStyle w:val="ListBullet"/>
      </w:pPr>
      <w:r>
        <w:t>CapEx (FY2026): average net capital expenditures per unit continuing to approximately $2.5 million  — Q2 2026, call, CFO</w:t>
      </w:r>
    </w:p>
    <w:p>
      <w:pPr>
        <w:pStyle w:val="ListBullet"/>
      </w:pPr>
      <w:r>
        <w:t>Operating Margin (FY2026): we now expect full-year restaurant-level operating profit margins to be between 18 and 18.5%  — Q2 2026, call, CFO</w:t>
      </w:r>
    </w:p>
    <w:p>
      <w:pPr>
        <w:pStyle w:val="SubHeading"/>
      </w:pPr>
      <w:r>
        <w:t>Edge claims (structured, vs. published anchors):</w:t>
      </w:r>
    </w:p>
    <w:tbl>
      <w:tblPr>
        <w:tblW w:type="auto" w:w="0"/>
        <w:tblLook w:firstColumn="1" w:firstRow="1" w:lastColumn="0" w:lastRow="0" w:noHBand="0" w:noVBand="1" w:val="04A0"/>
      </w:tblPr>
      <w:tblGrid>
        <w:gridCol w:w="1632"/>
        <w:gridCol w:w="1632"/>
        <w:gridCol w:w="1632"/>
        <w:gridCol w:w="1632"/>
        <w:gridCol w:w="1632"/>
        <w:gridCol w:w="1632"/>
      </w:tblGrid>
      <w:tr>
        <w:tc>
          <w:tcPr>
            <w:tcW w:type="dxa" w:w="1632"/>
            <w:shd w:val="clear" w:color="auto" w:fill="E8EDF5"/>
            <w:tcBorders>
              <w:top w:val="single" w:sz="4" w:color="BDC3C7"/>
              <w:bottom w:val="single" w:sz="4" w:color="BDC3C7"/>
              <w:left w:val="single" w:sz="4" w:color="BDC3C7"/>
              <w:right w:val="single" w:sz="4" w:color="BDC3C7"/>
            </w:tcBorders>
          </w:tcPr>
          <w:p>
            <w:r>
              <w:rPr>
                <w:b/>
              </w:rPr>
              <w:t>#</w:t>
            </w:r>
          </w:p>
        </w:tc>
        <w:tc>
          <w:tcPr>
            <w:tcW w:type="dxa" w:w="1632"/>
            <w:shd w:val="clear" w:color="auto" w:fill="E8EDF5"/>
            <w:tcBorders>
              <w:top w:val="single" w:sz="4" w:color="BDC3C7"/>
              <w:bottom w:val="single" w:sz="4" w:color="BDC3C7"/>
              <w:left w:val="single" w:sz="4" w:color="BDC3C7"/>
              <w:right w:val="single" w:sz="4" w:color="BDC3C7"/>
            </w:tcBorders>
          </w:tcPr>
          <w:p>
            <w:r>
              <w:rPr>
                <w:b/>
              </w:rPr>
              <w:t>Anchor</w:t>
            </w:r>
          </w:p>
        </w:tc>
        <w:tc>
          <w:tcPr>
            <w:tcW w:type="dxa" w:w="1632"/>
            <w:shd w:val="clear" w:color="auto" w:fill="E8EDF5"/>
            <w:tcBorders>
              <w:top w:val="single" w:sz="4" w:color="BDC3C7"/>
              <w:bottom w:val="single" w:sz="4" w:color="BDC3C7"/>
              <w:left w:val="single" w:sz="4" w:color="BDC3C7"/>
              <w:right w:val="single" w:sz="4" w:color="BDC3C7"/>
            </w:tcBorders>
          </w:tcPr>
          <w:p>
            <w:r>
              <w:rPr>
                <w:b/>
              </w:rPr>
              <w:t>Street</w:t>
            </w:r>
          </w:p>
        </w:tc>
        <w:tc>
          <w:tcPr>
            <w:tcW w:type="dxa" w:w="1632"/>
            <w:shd w:val="clear" w:color="auto" w:fill="E8EDF5"/>
            <w:tcBorders>
              <w:top w:val="single" w:sz="4" w:color="BDC3C7"/>
              <w:bottom w:val="single" w:sz="4" w:color="BDC3C7"/>
              <w:left w:val="single" w:sz="4" w:color="BDC3C7"/>
              <w:right w:val="single" w:sz="4" w:color="BDC3C7"/>
            </w:tcBorders>
          </w:tcPr>
          <w:p>
            <w:r>
              <w:rPr>
                <w:b/>
              </w:rPr>
              <w:t>Ours</w:t>
            </w:r>
          </w:p>
        </w:tc>
        <w:tc>
          <w:tcPr>
            <w:tcW w:type="dxa" w:w="1632"/>
            <w:shd w:val="clear" w:color="auto" w:fill="E8EDF5"/>
            <w:tcBorders>
              <w:top w:val="single" w:sz="4" w:color="BDC3C7"/>
              <w:bottom w:val="single" w:sz="4" w:color="BDC3C7"/>
              <w:left w:val="single" w:sz="4" w:color="BDC3C7"/>
              <w:right w:val="single" w:sz="4" w:color="BDC3C7"/>
            </w:tcBorders>
          </w:tcPr>
          <w:p>
            <w:r>
              <w:rPr>
                <w:b/>
              </w:rPr>
              <w:t>Δ EPS</w:t>
            </w:r>
          </w:p>
        </w:tc>
        <w:tc>
          <w:tcPr>
            <w:tcW w:type="dxa" w:w="1632"/>
            <w:shd w:val="clear" w:color="auto" w:fill="E8EDF5"/>
            <w:tcBorders>
              <w:top w:val="single" w:sz="4" w:color="BDC3C7"/>
              <w:bottom w:val="single" w:sz="4" w:color="BDC3C7"/>
              <w:left w:val="single" w:sz="4" w:color="BDC3C7"/>
              <w:right w:val="single" w:sz="4" w:color="BDC3C7"/>
            </w:tcBorders>
          </w:tcPr>
          <w:p>
            <w:r>
              <w:rPr>
                <w:b/>
              </w:rPr>
              <w:t>Category</w:t>
            </w:r>
          </w:p>
        </w:tc>
      </w:tr>
      <w:tr>
        <w:tc>
          <w:tcPr>
            <w:tcW w:type="dxa" w:w="1632"/>
            <w:tcBorders>
              <w:top w:val="single" w:sz="4" w:color="BDC3C7"/>
              <w:bottom w:val="single" w:sz="4" w:color="BDC3C7"/>
              <w:left w:val="single" w:sz="4" w:color="BDC3C7"/>
              <w:right w:val="single" w:sz="4" w:color="BDC3C7"/>
            </w:tcBorders>
          </w:tcPr>
          <w:p>
            <w:r>
              <w:t>1</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-13.0%</w:t>
            </w:r>
          </w:p>
        </w:tc>
        <w:tc>
          <w:tcPr>
            <w:tcW w:type="dxa" w:w="1632"/>
            <w:tcBorders>
              <w:top w:val="single" w:sz="4" w:color="BDC3C7"/>
              <w:bottom w:val="single" w:sz="4" w:color="BDC3C7"/>
              <w:left w:val="single" w:sz="4" w:color="BDC3C7"/>
              <w:right w:val="single" w:sz="4" w:color="BDC3C7"/>
            </w:tcBorders>
          </w:tcPr>
          <w:p>
            <w:r>
              <w:t>+2.0%</w:t>
            </w:r>
          </w:p>
        </w:tc>
        <w:tc>
          <w:tcPr>
            <w:tcW w:type="dxa" w:w="1632"/>
            <w:tcBorders>
              <w:top w:val="single" w:sz="4" w:color="BDC3C7"/>
              <w:bottom w:val="single" w:sz="4" w:color="BDC3C7"/>
              <w:left w:val="single" w:sz="4" w:color="BDC3C7"/>
              <w:right w:val="single" w:sz="4" w:color="BDC3C7"/>
            </w:tcBorders>
          </w:tcPr>
          <w:p>
            <w:r>
              <w:t>+0.15</w:t>
            </w:r>
          </w:p>
        </w:tc>
        <w:tc>
          <w:tcPr>
            <w:tcW w:type="dxa" w:w="1632"/>
            <w:tcBorders>
              <w:top w:val="single" w:sz="4" w:color="BDC3C7"/>
              <w:bottom w:val="single" w:sz="4" w:color="BDC3C7"/>
              <w:left w:val="single" w:sz="4" w:color="BDC3C7"/>
              <w:right w:val="single" w:sz="4" w:color="BDC3C7"/>
            </w:tcBorders>
          </w:tcPr>
          <w:p>
            <w:r>
              <w:t>synthesis</w:t>
            </w:r>
          </w:p>
        </w:tc>
      </w:tr>
      <w:tr>
        <w:tc>
          <w:tcPr>
            <w:tcW w:type="dxa" w:w="1632"/>
            <w:tcBorders>
              <w:top w:val="single" w:sz="4" w:color="BDC3C7"/>
              <w:bottom w:val="single" w:sz="4" w:color="BDC3C7"/>
              <w:left w:val="single" w:sz="4" w:color="BDC3C7"/>
              <w:right w:val="single" w:sz="4" w:color="BDC3C7"/>
            </w:tcBorders>
          </w:tcPr>
          <w:p>
            <w:r>
              <w:t>2</w:t>
            </w:r>
          </w:p>
        </w:tc>
        <w:tc>
          <w:tcPr>
            <w:tcW w:type="dxa" w:w="1632"/>
            <w:tcBorders>
              <w:top w:val="single" w:sz="4" w:color="BDC3C7"/>
              <w:bottom w:val="single" w:sz="4" w:color="BDC3C7"/>
              <w:left w:val="single" w:sz="4" w:color="BDC3C7"/>
              <w:right w:val="single" w:sz="4" w:color="BDC3C7"/>
            </w:tcBorders>
          </w:tcPr>
          <w:p>
            <w:r>
              <w:t>Cons +FY EPS</w:t>
            </w:r>
          </w:p>
        </w:tc>
        <w:tc>
          <w:tcPr>
            <w:tcW w:type="dxa" w:w="1632"/>
            <w:tcBorders>
              <w:top w:val="single" w:sz="4" w:color="BDC3C7"/>
              <w:bottom w:val="single" w:sz="4" w:color="BDC3C7"/>
              <w:left w:val="single" w:sz="4" w:color="BDC3C7"/>
              <w:right w:val="single" w:sz="4" w:color="BDC3C7"/>
            </w:tcBorders>
          </w:tcPr>
          <w:p>
            <w:r>
              <w:t>+27.0%</w:t>
            </w:r>
          </w:p>
        </w:tc>
        <w:tc>
          <w:tcPr>
            <w:tcW w:type="dxa" w:w="1632"/>
            <w:tcBorders>
              <w:top w:val="single" w:sz="4" w:color="BDC3C7"/>
              <w:bottom w:val="single" w:sz="4" w:color="BDC3C7"/>
              <w:left w:val="single" w:sz="4" w:color="BDC3C7"/>
              <w:right w:val="single" w:sz="4" w:color="BDC3C7"/>
            </w:tcBorders>
          </w:tcPr>
          <w:p>
            <w:r>
              <w:t>+55.0%</w:t>
            </w:r>
          </w:p>
        </w:tc>
        <w:tc>
          <w:tcPr>
            <w:tcW w:type="dxa" w:w="1632"/>
            <w:tcBorders>
              <w:top w:val="single" w:sz="4" w:color="BDC3C7"/>
              <w:bottom w:val="single" w:sz="4" w:color="BDC3C7"/>
              <w:left w:val="single" w:sz="4" w:color="BDC3C7"/>
              <w:right w:val="single" w:sz="4" w:color="BDC3C7"/>
            </w:tcBorders>
          </w:tcPr>
          <w:p>
            <w:r>
              <w:t>+0.28</w:t>
            </w:r>
          </w:p>
        </w:tc>
        <w:tc>
          <w:tcPr>
            <w:tcW w:type="dxa" w:w="1632"/>
            <w:tcBorders>
              <w:top w:val="single" w:sz="4" w:color="BDC3C7"/>
              <w:bottom w:val="single" w:sz="4" w:color="BDC3C7"/>
              <w:left w:val="single" w:sz="4" w:color="BDC3C7"/>
              <w:right w:val="single" w:sz="4" w:color="BDC3C7"/>
            </w:tcBorders>
          </w:tcPr>
          <w:p>
            <w:r>
              <w:t>non_public_inference</w:t>
            </w:r>
          </w:p>
        </w:tc>
      </w:tr>
    </w:tbl>
    <w:p>
      <w:pPr>
        <w:pStyle w:val="SubHeading"/>
      </w:pPr>
      <w:r>
        <w:t>Claim 1 — consensus_fy_eps</w:t>
      </w:r>
    </w:p>
    <w:p>
      <w:r>
        <w:t>The consensus FY2026 EPS of -$0.13 embeds a restaurant-level margin at the low end of management's 18-18.5% guide, but management's documented pattern of conservative guidance (three consecutive beats, institutionalized post-traumatic sandbagging explicitly acknowledged on the Q2 2026 call) and the Q3 QTD positive commentary ('happy with how Q3 has performed so far') suggest the full-year margin will print at or above 18.5%. At 18.5% restaurant-level margin on $334M revenue, restaurant-level profit is ~$61.8M vs. ~$60.1M at 18.0% — a $1.7M incremental profit that, after G&amp;A of ~$40M and D&amp;A of ~$16M, moves GAAP operating income from approximately -$2M to approximately -$0.3M, and with $3M of net interest income, produces near-breakeven to slightly positive net income vs. the consensus -$0.13 EPS.</w:t>
      </w:r>
    </w:p>
    <w:p>
      <w:r>
        <w:t>Street anchor: -13.0% (yfinance consensus FY2026) → Our view: +2.0%</w:t>
      </w:r>
    </w:p>
    <w:p>
      <w:pPr>
        <w:pStyle w:val="PullQuote"/>
      </w:pPr>
      <w:r>
        <w:t>“I'm sure you recall the traumatic and unfortunate experience a couple years ago where we raised guidance. And then in a number of weeks, we had to lower guidance below the initial guidance. And that's sort of informed a level of conservatism in the way that we provide guidance ev”  (transcript)</w:t>
      </w:r>
    </w:p>
    <w:p>
      <w:pPr>
        <w:pStyle w:val="PullQuote"/>
      </w:pPr>
      <w:r>
        <w:t>“We're happy with how Q3 has performed so far.”  (transcript)</w:t>
      </w:r>
    </w:p>
    <w:p>
      <w:pPr>
        <w:pStyle w:val="PullQuote"/>
      </w:pPr>
      <w:r>
        <w:t>“And we now expect full-year restaurant-level operating profit margins to be between 18 and 18.5%.”  (transcript)</w:t>
      </w:r>
    </w:p>
    <w:p>
      <w:r>
        <w:t>Why not consensus: Sell-side analysts model each quarter in isolation and anchor to the GAAP operating loss structure from FY2025 (-$4.8M op income). They see the -$0.13 FY2026 consensus as already embedding improvement, but they are not systematically tracking the multi-quarter guidance beat pattern (Q1 beat by ~250bps, Q2 beat by ~600bps) as a structural signal of institutionalized conservatism. The Q3 QTD positive commentary is a real-time signal that the H2 deceleration embedded in consensus is too pessimistic.</w:t>
      </w:r>
    </w:p>
    <w:p>
      <w:pPr>
        <w:pStyle w:val="KillCriteria"/>
      </w:pPr>
      <w:r>
        <w:t>Falsifier: If Q3 2026 (reporting July 14) shows SSS below +3% and restaurant-level margin below 18%, the H2 recovery thesis is broken and consensus -$0.13 is correct or too optimistic.</w:t>
      </w:r>
    </w:p>
    <w:p>
      <w:pPr>
        <w:pStyle w:val="SubHeading"/>
      </w:pPr>
      <w:r>
        <w:t>Claim 2 — consensus_next_fy_eps</w:t>
      </w:r>
    </w:p>
    <w:p>
      <w:r>
        <w:t>The FY2027 consensus EPS of $0.27 (range $0.12-$0.55) implies only modest margin expansion from FY2026's near-breakeven, but the unit math and geographic mix shift create a structural FY2027 margin tailwind the street has not priced. Management explicitly flagged in the Q2 2026 call that new market openings in FY2027 will 'reduce the impact of the carnival' (California high-labor-cost markets), and 16 FY2026 new units reaching full AUV maturity in FY2027 plus 16+ additional FY2027 openings creates ~$48-55M of incremental high-margin revenue. At 18.5-19% restaurant-level margin on ~$400M FY2027 revenue, restaurant-level profit is $74-76M; subtract G&amp;A of ~$46M (12% of $400M) and D&amp;A of ~$18M, and GAAP operating income approaches $10-12M, implying EPS of $0.50-0.60 — at the high end of the analyst range but achievable on the disclosed unit economics.</w:t>
      </w:r>
    </w:p>
    <w:p>
      <w:r>
        <w:t>Street anchor: +27.0% (yfinance consensus FY2027) → Our view: +55.0%</w:t>
      </w:r>
    </w:p>
    <w:p>
      <w:pPr>
        <w:pStyle w:val="PullQuote"/>
      </w:pPr>
      <w:r>
        <w:t>“After next year, we'll be able to open it to the new market, and we'll be able to reduce the impact of the carnival.”  (transcript)</w:t>
      </w:r>
    </w:p>
    <w:p>
      <w:pPr>
        <w:pStyle w:val="PullQuote"/>
      </w:pPr>
      <w:r>
        <w:t>“We expect to open 16 new units, maintaining an annual unit growth rate above 20%, with average net capital expenditures per unit continuing to approximately $2.5 million.”  (transcript)</w:t>
      </w:r>
    </w:p>
    <w:p>
      <w:pPr>
        <w:pStyle w:val="PullQuote"/>
      </w:pPr>
      <w:r>
        <w:t>“We now expect total sales to be between $333 and $335 million.”  (transcript)</w:t>
      </w:r>
    </w:p>
    <w:p>
      <w:r>
        <w:t>Why not consensus: The geographic labor cost diversification signal was disclosed in a translated Q&amp;A response (CEO speaking Japanese, translated by Ben Porten) and is easy to miss in transcript review. Sell-side analysts modeling FY2027 are using top-down revenue growth assumptions without running the unit-level math that shows 16 FY2026 units reaching full AUV maturity in FY2027 as a discrete, high-confidence revenue and margin driver. The wide consensus range ($0.12-$0.55) itself signals the street has low conviction on FY2027, which is an opportunity.</w:t>
      </w:r>
    </w:p>
    <w:p>
      <w:pPr>
        <w:pStyle w:val="KillCriteria"/>
      </w:pPr>
      <w:r>
        <w:t>Falsifier: If FY2026 new unit openings underperform AUV expectations (management has dodged new store AUV quantification twice in Q&amp;A), or if California labor cost legislation accelerates beyond the current trajectory, the geographic diversification margin benefit is smaller than modeled.</w:t>
      </w:r>
    </w:p>
    <w:p>
      <w:r>
        <w:t>Management tone shift in Q4 2025→Q1 2026: comparable sales trajectory: confidence_gain — Management beat its own downbeat Q1 comp guide by a meaningful margin and immediately upgraded Q2 ex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+3.40%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+0.90%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 xml:space="preserve">Q2 2026 traffic was +4.3% YoY, the strongest traffic print in the three-quarter window reviewed. However, Q2 benefited from the easiest comparison in the fiscal year (Q2 2025 was -5.8% net margin, implying weak traffic) </w:t>
            </w:r>
          </w:p>
        </w:tc>
      </w:tr>
      <w:tr>
        <w:tc>
          <w:tcPr>
            <w:tcW w:type="dxa" w:w="2448"/>
            <w:tcBorders>
              <w:top w:val="single" w:sz="4" w:color="BDC3C7"/>
              <w:bottom w:val="single" w:sz="4" w:color="BDC3C7"/>
              <w:left w:val="single" w:sz="4" w:color="BDC3C7"/>
              <w:right w:val="single" w:sz="4" w:color="BDC3C7"/>
            </w:tcBorders>
          </w:tcPr>
          <w:p>
            <w:r>
              <w:t xml:space="preserve">    ticket_growth_price</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 xml:space="preserve">Effective pricing was 4.5% in Q2 2026 following the November 1, 2025 price increase of 3.5%. In the Q1 2026 call, CFO stated 'after lapping prior year increases, our effective price for the second quarter will be 4.5%.' </w:t>
            </w:r>
          </w:p>
        </w:tc>
      </w:tr>
      <w:tr>
        <w:tc>
          <w:tcPr>
            <w:tcW w:type="dxa" w:w="2448"/>
            <w:tcBorders>
              <w:top w:val="single" w:sz="4" w:color="BDC3C7"/>
              <w:bottom w:val="single" w:sz="4" w:color="BDC3C7"/>
              <w:left w:val="single" w:sz="4" w:color="BDC3C7"/>
              <w:right w:val="single" w:sz="4" w:color="BDC3C7"/>
            </w:tcBorders>
          </w:tcPr>
          <w:p>
            <w:r>
              <w:t xml:space="preserve">    ticket_growth_mix</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Q2 2026 price/mix was +4.3% total, with effective pricing at 4.5% — implying mix was approximately flat to slightly negative (-0.2%). Management attributed the Q2 mix improvement to IP collaboration-driven plate attachme</w:t>
            </w:r>
          </w:p>
        </w:tc>
      </w:tr>
      <w:tr>
        <w:tc>
          <w:tcPr>
            <w:tcW w:type="dxa" w:w="2448"/>
            <w:tcBorders>
              <w:top w:val="single" w:sz="4" w:color="BDC3C7"/>
              <w:bottom w:val="single" w:sz="4" w:color="BDC3C7"/>
              <w:left w:val="single" w:sz="4" w:color="BDC3C7"/>
              <w:right w:val="single" w:sz="4" w:color="BDC3C7"/>
            </w:tcBorders>
          </w:tcPr>
          <w:p>
            <w:r>
              <w:rPr>
                <w:b/>
              </w:rPr>
              <w:t>New Restaurant Openings</w:t>
            </w:r>
          </w:p>
        </w:tc>
        <w:tc>
          <w:tcPr>
            <w:tcW w:type="dxa" w:w="2448"/>
            <w:tcBorders>
              <w:top w:val="single" w:sz="4" w:color="BDC3C7"/>
              <w:bottom w:val="single" w:sz="4" w:color="BDC3C7"/>
              <w:left w:val="single" w:sz="4" w:color="BDC3C7"/>
              <w:right w:val="single" w:sz="4" w:color="BDC3C7"/>
            </w:tcBorders>
          </w:tcPr>
          <w:p>
            <w:r>
              <w:rPr>
                <w:b/>
              </w:rPr>
              <w:t>16</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new_unit_count</w:t>
            </w:r>
          </w:p>
        </w:tc>
        <w:tc>
          <w:tcPr>
            <w:tcW w:type="dxa" w:w="2448"/>
            <w:tcBorders>
              <w:top w:val="single" w:sz="4" w:color="BDC3C7"/>
              <w:bottom w:val="single" w:sz="4" w:color="BDC3C7"/>
              <w:left w:val="single" w:sz="4" w:color="BDC3C7"/>
              <w:right w:val="single" w:sz="4" w:color="BDC3C7"/>
            </w:tcBorders>
          </w:tcPr>
          <w:p>
            <w:r>
              <w:t>16</w:t>
            </w:r>
          </w:p>
        </w:tc>
        <w:tc>
          <w:tcPr>
            <w:tcW w:type="dxa" w:w="2448"/>
            <w:tcBorders>
              <w:top w:val="single" w:sz="4" w:color="BDC3C7"/>
              <w:bottom w:val="single" w:sz="4" w:color="BDC3C7"/>
              <w:left w:val="single" w:sz="4" w:color="BDC3C7"/>
              <w:right w:val="single" w:sz="4" w:color="BDC3C7"/>
            </w:tcBorders>
          </w:tcPr>
          <w:p>
            <w:r>
              <w:t>0.75</w:t>
            </w:r>
          </w:p>
        </w:tc>
        <w:tc>
          <w:tcPr>
            <w:tcW w:type="dxa" w:w="2448"/>
            <w:tcBorders>
              <w:top w:val="single" w:sz="4" w:color="BDC3C7"/>
              <w:bottom w:val="single" w:sz="4" w:color="BDC3C7"/>
              <w:left w:val="single" w:sz="4" w:color="BDC3C7"/>
              <w:right w:val="single" w:sz="4" w:color="BDC3C7"/>
            </w:tcBorders>
          </w:tcPr>
          <w:p>
            <w:r>
              <w:t xml:space="preserve">Management has guided 16 new units for FY2026 across three consecutive quarters (Q4 2025, Q1 2026, Q2 2026) without deviation. As of Q1 2026, 10 units were under construction on top of 4 already opened, providing strong </w:t>
            </w:r>
          </w:p>
        </w:tc>
      </w:tr>
      <w:tr>
        <w:tc>
          <w:tcPr>
            <w:tcW w:type="dxa" w:w="2448"/>
            <w:tcBorders>
              <w:top w:val="single" w:sz="4" w:color="BDC3C7"/>
              <w:bottom w:val="single" w:sz="4" w:color="BDC3C7"/>
              <w:left w:val="single" w:sz="4" w:color="BDC3C7"/>
              <w:right w:val="single" w:sz="4" w:color="BDC3C7"/>
            </w:tcBorders>
          </w:tcPr>
          <w:p>
            <w:r>
              <w:rPr>
                <w:b/>
              </w:rPr>
              <w:t>Food Cost</w:t>
            </w:r>
          </w:p>
        </w:tc>
        <w:tc>
          <w:tcPr>
            <w:tcW w:type="dxa" w:w="2448"/>
            <w:tcBorders>
              <w:top w:val="single" w:sz="4" w:color="BDC3C7"/>
              <w:bottom w:val="single" w:sz="4" w:color="BDC3C7"/>
              <w:left w:val="single" w:sz="4" w:color="BDC3C7"/>
              <w:right w:val="single" w:sz="4" w:color="BDC3C7"/>
            </w:tcBorders>
          </w:tcPr>
          <w:p>
            <w:r>
              <w:rPr>
                <w:b/>
              </w:rPr>
              <w:t>+28bps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tariff_and_commodity_headwind</w:t>
            </w:r>
          </w:p>
        </w:tc>
        <w:tc>
          <w:tcPr>
            <w:tcW w:type="dxa" w:w="2448"/>
            <w:tcBorders>
              <w:top w:val="single" w:sz="4" w:color="BDC3C7"/>
              <w:bottom w:val="single" w:sz="4" w:color="BDC3C7"/>
              <w:left w:val="single" w:sz="4" w:color="BDC3C7"/>
              <w:right w:val="single" w:sz="4" w:color="BDC3C7"/>
            </w:tcBorders>
          </w:tcPr>
          <w:p>
            <w:r>
              <w:t>+28bps</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Food and beverage costs were 30.4% in Q2 2026 vs. 28.7% in Q2 2025, a 170bps YoY increase. Management guided 'approximately 30%' for the full year and expressed confidence in that number. However, the Q2 2026 call introd</w:t>
            </w:r>
          </w:p>
        </w:tc>
      </w:tr>
      <w:tr>
        <w:tc>
          <w:tcPr>
            <w:tcW w:type="dxa" w:w="2448"/>
            <w:tcBorders>
              <w:top w:val="single" w:sz="4" w:color="BDC3C7"/>
              <w:bottom w:val="single" w:sz="4" w:color="BDC3C7"/>
              <w:left w:val="single" w:sz="4" w:color="BDC3C7"/>
              <w:right w:val="single" w:sz="4" w:color="BDC3C7"/>
            </w:tcBorders>
          </w:tcPr>
          <w:p>
            <w:r>
              <w:rPr>
                <w:b/>
              </w:rPr>
              <w:t>Labor Cost</w:t>
            </w:r>
          </w:p>
        </w:tc>
        <w:tc>
          <w:tcPr>
            <w:tcW w:type="dxa" w:w="2448"/>
            <w:tcBorders>
              <w:top w:val="single" w:sz="4" w:color="BDC3C7"/>
              <w:bottom w:val="single" w:sz="4" w:color="BDC3C7"/>
              <w:left w:val="single" w:sz="4" w:color="BDC3C7"/>
              <w:right w:val="single" w:sz="4" w:color="BDC3C7"/>
            </w:tcBorders>
          </w:tcPr>
          <w:p>
            <w:r>
              <w:rPr>
                <w:b/>
              </w:rPr>
              <w:t>-90bps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labor_efficiency_improvement</w:t>
            </w:r>
          </w:p>
        </w:tc>
        <w:tc>
          <w:tcPr>
            <w:tcW w:type="dxa" w:w="2448"/>
            <w:tcBorders>
              <w:top w:val="single" w:sz="4" w:color="BDC3C7"/>
              <w:bottom w:val="single" w:sz="4" w:color="BDC3C7"/>
              <w:left w:val="single" w:sz="4" w:color="BDC3C7"/>
              <w:right w:val="single" w:sz="4" w:color="BDC3C7"/>
            </w:tcBorders>
          </w:tcPr>
          <w:p>
            <w:r>
              <w:t>-90bps</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Q2 2026 labor was 30.7% vs. 34.8% in Q2 2025, a 410bps improvement. Q1 2026 labor was 32.5% vs. 32.9% in Q1 2025, a 40bps improvement. Management guided 100bps full-year labor improvement at the start of FY2026 and reaff</w:t>
            </w:r>
          </w:p>
        </w:tc>
      </w:tr>
      <w:tr>
        <w:tc>
          <w:tcPr>
            <w:tcW w:type="dxa" w:w="2448"/>
            <w:tcBorders>
              <w:top w:val="single" w:sz="4" w:color="BDC3C7"/>
              <w:bottom w:val="single" w:sz="4" w:color="BDC3C7"/>
              <w:left w:val="single" w:sz="4" w:color="BDC3C7"/>
              <w:right w:val="single" w:sz="4" w:color="BDC3C7"/>
            </w:tcBorders>
          </w:tcPr>
          <w:p>
            <w:r>
              <w:rPr>
                <w:b/>
              </w:rPr>
              <w:t>Other Restaurant Costs</w:t>
            </w:r>
          </w:p>
        </w:tc>
        <w:tc>
          <w:tcPr>
            <w:tcW w:type="dxa" w:w="2448"/>
            <w:tcBorders>
              <w:top w:val="single" w:sz="4" w:color="BDC3C7"/>
              <w:bottom w:val="single" w:sz="4" w:color="BDC3C7"/>
              <w:left w:val="single" w:sz="4" w:color="BDC3C7"/>
              <w:right w:val="single" w:sz="4" w:color="BDC3C7"/>
            </w:tcBorders>
          </w:tcPr>
          <w:p>
            <w:r>
              <w:rPr>
                <w:b/>
              </w:rPr>
              <w:t>-30bps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occupancy_and_other</w:t>
            </w:r>
          </w:p>
        </w:tc>
        <w:tc>
          <w:tcPr>
            <w:tcW w:type="dxa" w:w="2448"/>
            <w:tcBorders>
              <w:top w:val="single" w:sz="4" w:color="BDC3C7"/>
              <w:bottom w:val="single" w:sz="4" w:color="BDC3C7"/>
              <w:left w:val="single" w:sz="4" w:color="BDC3C7"/>
              <w:right w:val="single" w:sz="4" w:color="BDC3C7"/>
            </w:tcBorders>
          </w:tcPr>
          <w:p>
            <w:r>
              <w:t>-30bps</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Management has not provided specific guidance on occupancy or other restaurant costs beyond the restaurant-level operating margin guide. With SSS positive and new units opening, fixed occupancy costs should leverage mode</w:t>
            </w:r>
          </w:p>
        </w:tc>
      </w:tr>
    </w:tbl>
    <w:p>
      <w:pPr>
        <w:pStyle w:val="SubHeading"/>
      </w:pPr>
      <w:r>
        <w:t>Bear revisions:</w:t>
      </w:r>
    </w:p>
    <w:p>
      <w:pPr>
        <w:pStyle w:val="ListBullet"/>
      </w:pPr>
      <w:r>
        <w:t>Same-Store Sales Growth.traffic_growth: 1.5 → -0.5 — If consumer sentiment deterioration (49.8 UMich, down 4.6% YoY) translates into traffic softness in H2 2026, and the IP collab calendar is weaker than H1, traffic could turn slightly negative. Q4 2025 traffic was only +0.5% and Q1 2026 was -2.5% — the underlying baseline without IP support is fragile.</w:t>
      </w:r>
    </w:p>
    <w:p>
      <w:pPr>
        <w:pStyle w:val="ListBullet"/>
      </w:pPr>
      <w:r>
        <w:t>Food Cost.tariff_and_commodity_headwind: 20 → 80 — PPI commodity inflation at +13.1% YoY is a severe input cost pressure. If commodity inflation accelerates or tariff relief is further offset, food costs could reach 31% of sales in H2 2026, representing an 80bps headwind above the 30% baseline — compressing restaurant-level margins to 17.5-18% and pushing FY2026 EPS toward -$0.25 to -$0.30.</w:t>
      </w:r>
    </w:p>
    <w:p>
      <w:pPr>
        <w:pStyle w:val="ListBullet"/>
      </w:pPr>
      <w:r>
        <w:t>Labor Cost.labor_efficiency_improvement: -150 → -50 — If H2 2026 SSS decelerates to flat or slightly negative, the volume leverage that drove Q2's 410bps labor improvement disappears. Without the comp tailwind, labor improvement reverts toward the structural 50bps from the DC robot program alone, and wage inflation (+4.0% YoY BLS) erodes the remaining gains.</w:t>
      </w:r>
    </w:p>
    <w:p>
      <w:pPr>
        <w:pStyle w:val="ListBullet"/>
      </w:pPr>
      <w:r>
        <w:rPr>
          <w:i/>
        </w:rPr>
        <w:t>→ Research: Search confirms KRUS imports Japanese seafood and specialized ingredients subject to 15% tariffs (as of April 2025), with tariffs driving 70 bps COGS increase in Q4 2025 and 30.4% food costs in Q2 2026. About 60% of commodity basket sourced overseas. Broad PPI data does not capture Japan-specific tariff impact on sushi-grade fish. (financialcontent.com)</w:t>
      </w:r>
    </w:p>
    <w:p>
      <w:pPr>
        <w:pStyle w:val="SectionHeading"/>
      </w:pPr>
      <w:r>
        <w:t>3. Consensus Gap &amp; Valuation</w:t>
      </w:r>
    </w:p>
    <w:p>
      <w:r>
        <w:t>Our EPS: $0.02  =  baseline $-0.13  +  Σ claim impacts $+0.15 (116.1% above consensus $-0.13)</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guidance midpoint;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$-0.13</w:t>
            </w:r>
          </w:p>
        </w:tc>
      </w:tr>
      <w:tr>
        <w:tc>
          <w:tcPr>
            <w:tcW w:type="dxa" w:w="2448"/>
            <w:tcBorders>
              <w:top w:val="single" w:sz="4" w:color="BDC3C7"/>
              <w:bottom w:val="single" w:sz="4" w:color="BDC3C7"/>
              <w:left w:val="single" w:sz="4" w:color="BDC3C7"/>
              <w:right w:val="single" w:sz="4" w:color="BDC3C7"/>
            </w:tcBorders>
          </w:tcPr>
          <w:p>
            <w:r>
              <w:t>EPS (direct)</w:t>
            </w:r>
          </w:p>
        </w:tc>
        <w:tc>
          <w:tcPr>
            <w:tcW w:type="dxa" w:w="2448"/>
            <w:tcBorders>
              <w:top w:val="single" w:sz="4" w:color="BDC3C7"/>
              <w:bottom w:val="single" w:sz="4" w:color="BDC3C7"/>
              <w:left w:val="single" w:sz="4" w:color="BDC3C7"/>
              <w:right w:val="single" w:sz="4" w:color="BDC3C7"/>
            </w:tcBorders>
          </w:tcPr>
          <w:p>
            <w:r>
              <w:t>Cons FY EPS</w:t>
              <w:br/>
              <w:t>-13.0% → +2.0% (Δ +15.0%)</w:t>
            </w:r>
          </w:p>
        </w:tc>
        <w:tc>
          <w:tcPr>
            <w:tcW w:type="dxa" w:w="2448"/>
            <w:tcBorders>
              <w:top w:val="single" w:sz="4" w:color="BDC3C7"/>
              <w:bottom w:val="single" w:sz="4" w:color="BDC3C7"/>
              <w:left w:val="single" w:sz="4" w:color="BDC3C7"/>
              <w:right w:val="single" w:sz="4" w:color="BDC3C7"/>
            </w:tcBorders>
          </w:tcPr>
          <w:p>
            <w:r>
              <w:t>Direct EPS delta: $+0.15/share</w:t>
            </w:r>
          </w:p>
        </w:tc>
        <w:tc>
          <w:tcPr>
            <w:tcW w:type="dxa" w:w="2448"/>
            <w:tcBorders>
              <w:top w:val="single" w:sz="4" w:color="BDC3C7"/>
              <w:bottom w:val="single" w:sz="4" w:color="BDC3C7"/>
              <w:left w:val="single" w:sz="4" w:color="BDC3C7"/>
              <w:right w:val="single" w:sz="4" w:color="BDC3C7"/>
            </w:tcBorders>
          </w:tcPr>
          <w:p>
            <w:r>
              <w:t>+0.15</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+0.15</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$0.02</w:t>
            </w:r>
          </w:p>
        </w:tc>
      </w:tr>
    </w:tbl>
    <w:p>
      <w:pPr>
        <w:pStyle w:val="PullQuote"/>
      </w:pPr>
      <w:r>
        <w:t xml:space="preserve">  ⚠ 1 claim(s) target a different fiscal period than the current_fy baseline and weren't summed: consensus_next_fy_eps</w:t>
      </w:r>
    </w:p>
    <w:p>
      <w:pPr>
        <w:pStyle w:val="PullQuote"/>
      </w:pPr>
      <w:r>
        <w:t xml:space="preserve">  ⚠ Aggregate edge impact $+0.15 exceeds 50% of baseline EPS $-0.13 — review for compounding errors.</w:t>
      </w:r>
    </w:p>
    <w:p>
      <w:r>
        <w:t>Our estimate is $0.15 (116.1%) above consensus $-0.13. No single driver within plausible bounds can close the gap to consensus when other drivers are held at our values; the EPS variant is diffuse (top magnitude: Same-Store Sales Growth.traffic_growth). Variant appears NOT fully priced in based on available market data. Next catalyst: Next quarterly earnings report (2026-07-07 (15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Same-Store Sales Growth.traffic_growth</w:t>
            </w:r>
          </w:p>
        </w:tc>
        <w:tc>
          <w:tcPr>
            <w:tcW w:type="dxa" w:w="1958"/>
            <w:tcBorders>
              <w:top w:val="single" w:sz="4" w:color="BDC3C7"/>
              <w:bottom w:val="single" w:sz="4" w:color="BDC3C7"/>
              <w:left w:val="single" w:sz="4" w:color="BDC3C7"/>
              <w:right w:val="single" w:sz="4" w:color="BDC3C7"/>
            </w:tcBorders>
          </w:tcPr>
          <w:p>
            <w:r>
              <w:t>+0.90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0.35</w:t>
            </w:r>
          </w:p>
        </w:tc>
      </w:tr>
      <w:tr>
        <w:tc>
          <w:tcPr>
            <w:tcW w:type="dxa" w:w="1958"/>
            <w:tcBorders>
              <w:top w:val="single" w:sz="4" w:color="BDC3C7"/>
              <w:bottom w:val="single" w:sz="4" w:color="BDC3C7"/>
              <w:left w:val="single" w:sz="4" w:color="BDC3C7"/>
              <w:right w:val="single" w:sz="4" w:color="BDC3C7"/>
            </w:tcBorders>
          </w:tcPr>
          <w:p>
            <w:r>
              <w:t>Same-Store Sales Growth.ticket_growth_price</w:t>
            </w:r>
          </w:p>
        </w:tc>
        <w:tc>
          <w:tcPr>
            <w:tcW w:type="dxa" w:w="1958"/>
            <w:tcBorders>
              <w:top w:val="single" w:sz="4" w:color="BDC3C7"/>
              <w:bottom w:val="single" w:sz="4" w:color="BDC3C7"/>
              <w:left w:val="single" w:sz="4" w:color="BDC3C7"/>
              <w:right w:val="single" w:sz="4" w:color="BDC3C7"/>
            </w:tcBorders>
          </w:tcPr>
          <w:p>
            <w:r>
              <w:t>+2.00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0.50</w:t>
            </w:r>
          </w:p>
        </w:tc>
      </w:tr>
      <w:tr>
        <w:tc>
          <w:tcPr>
            <w:tcW w:type="dxa" w:w="1958"/>
            <w:tcBorders>
              <w:top w:val="single" w:sz="4" w:color="BDC3C7"/>
              <w:bottom w:val="single" w:sz="4" w:color="BDC3C7"/>
              <w:left w:val="single" w:sz="4" w:color="BDC3C7"/>
              <w:right w:val="single" w:sz="4" w:color="BDC3C7"/>
            </w:tcBorders>
          </w:tcPr>
          <w:p>
            <w:r>
              <w:t>Same-Store Sales Growth.ticket_growth_mix</w:t>
            </w:r>
          </w:p>
        </w:tc>
        <w:tc>
          <w:tcPr>
            <w:tcW w:type="dxa" w:w="1958"/>
            <w:tcBorders>
              <w:top w:val="single" w:sz="4" w:color="BDC3C7"/>
              <w:bottom w:val="single" w:sz="4" w:color="BDC3C7"/>
              <w:left w:val="single" w:sz="4" w:color="BDC3C7"/>
              <w:right w:val="single" w:sz="4" w:color="BDC3C7"/>
            </w:tcBorders>
          </w:tcPr>
          <w:p>
            <w:r>
              <w:t>+0.50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0.25</w:t>
            </w:r>
          </w:p>
        </w:tc>
      </w:tr>
      <w:tr>
        <w:tc>
          <w:tcPr>
            <w:tcW w:type="dxa" w:w="1958"/>
            <w:tcBorders>
              <w:top w:val="single" w:sz="4" w:color="BDC3C7"/>
              <w:bottom w:val="single" w:sz="4" w:color="BDC3C7"/>
              <w:left w:val="single" w:sz="4" w:color="BDC3C7"/>
              <w:right w:val="single" w:sz="4" w:color="BDC3C7"/>
            </w:tcBorders>
          </w:tcPr>
          <w:p>
            <w:r>
              <w:t>New Restaurant Openings.new_unit_count</w:t>
            </w:r>
          </w:p>
        </w:tc>
        <w:tc>
          <w:tcPr>
            <w:tcW w:type="dxa" w:w="1958"/>
            <w:tcBorders>
              <w:top w:val="single" w:sz="4" w:color="BDC3C7"/>
              <w:bottom w:val="single" w:sz="4" w:color="BDC3C7"/>
              <w:left w:val="single" w:sz="4" w:color="BDC3C7"/>
              <w:right w:val="single" w:sz="4" w:color="BDC3C7"/>
            </w:tcBorders>
          </w:tcPr>
          <w:p>
            <w:r>
              <w:t>+16.00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0.75</w:t>
            </w:r>
          </w:p>
        </w:tc>
      </w:tr>
      <w:tr>
        <w:tc>
          <w:tcPr>
            <w:tcW w:type="dxa" w:w="1958"/>
            <w:tcBorders>
              <w:top w:val="single" w:sz="4" w:color="BDC3C7"/>
              <w:bottom w:val="single" w:sz="4" w:color="BDC3C7"/>
              <w:left w:val="single" w:sz="4" w:color="BDC3C7"/>
              <w:right w:val="single" w:sz="4" w:color="BDC3C7"/>
            </w:tcBorders>
          </w:tcPr>
          <w:p>
            <w:r>
              <w:t>Food Cost.tariff_and_commodity_headwind</w:t>
            </w:r>
          </w:p>
        </w:tc>
        <w:tc>
          <w:tcPr>
            <w:tcW w:type="dxa" w:w="1958"/>
            <w:tcBorders>
              <w:top w:val="single" w:sz="4" w:color="BDC3C7"/>
              <w:bottom w:val="single" w:sz="4" w:color="BDC3C7"/>
              <w:left w:val="single" w:sz="4" w:color="BDC3C7"/>
              <w:right w:val="single" w:sz="4" w:color="BDC3C7"/>
            </w:tcBorders>
          </w:tcPr>
          <w:p>
            <w:r>
              <w:t>+28.00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r>
        <w:tc>
          <w:tcPr>
            <w:tcW w:type="dxa" w:w="1958"/>
            <w:tcBorders>
              <w:top w:val="single" w:sz="4" w:color="BDC3C7"/>
              <w:bottom w:val="single" w:sz="4" w:color="BDC3C7"/>
              <w:left w:val="single" w:sz="4" w:color="BDC3C7"/>
              <w:right w:val="single" w:sz="4" w:color="BDC3C7"/>
            </w:tcBorders>
          </w:tcPr>
          <w:p>
            <w:r>
              <w:t>Labor Cost.labor_efficiency_improvement</w:t>
            </w:r>
          </w:p>
        </w:tc>
        <w:tc>
          <w:tcPr>
            <w:tcW w:type="dxa" w:w="1958"/>
            <w:tcBorders>
              <w:top w:val="single" w:sz="4" w:color="BDC3C7"/>
              <w:bottom w:val="single" w:sz="4" w:color="BDC3C7"/>
              <w:left w:val="single" w:sz="4" w:color="BDC3C7"/>
              <w:right w:val="single" w:sz="4" w:color="BDC3C7"/>
            </w:tcBorders>
          </w:tcPr>
          <w:p>
            <w:r>
              <w:t>-90.00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r>
        <w:tc>
          <w:tcPr>
            <w:tcW w:type="dxa" w:w="1958"/>
            <w:tcBorders>
              <w:top w:val="single" w:sz="4" w:color="BDC3C7"/>
              <w:bottom w:val="single" w:sz="4" w:color="BDC3C7"/>
              <w:left w:val="single" w:sz="4" w:color="BDC3C7"/>
              <w:right w:val="single" w:sz="4" w:color="BDC3C7"/>
            </w:tcBorders>
          </w:tcPr>
          <w:p>
            <w:r>
              <w:t>Other Restaurant Costs.occupancy_and_other</w:t>
            </w:r>
          </w:p>
        </w:tc>
        <w:tc>
          <w:tcPr>
            <w:tcW w:type="dxa" w:w="1958"/>
            <w:tcBorders>
              <w:top w:val="single" w:sz="4" w:color="BDC3C7"/>
              <w:bottom w:val="single" w:sz="4" w:color="BDC3C7"/>
              <w:left w:val="single" w:sz="4" w:color="BDC3C7"/>
              <w:right w:val="single" w:sz="4" w:color="BDC3C7"/>
            </w:tcBorders>
          </w:tcPr>
          <w:p>
            <w:r>
              <w:t>-30.00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0.45</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not fully — Variant (-116.1%) exceeds implied move (5.0%). Short interest 27.3% neutral</w:t>
      </w:r>
    </w:p>
    <w:p>
      <w:r>
        <w:t>Edge verdict: ACTIONABLE_EDGE (score 0.400).</w:t>
      </w:r>
    </w:p>
    <w:p>
      <w:pPr>
        <w:pStyle w:val="SectionHeading"/>
      </w:pPr>
      <w:r>
        <w:t>4. Catalysts</w:t>
      </w:r>
    </w:p>
    <w:p>
      <w:pPr>
        <w:pStyle w:val="ListBullet"/>
      </w:pPr>
      <w:r>
        <w:t>Next quarterly earnings report (2026-07-07 (15 days)) — resolves revenue + margins + guidance; confirms or challenges</w:t>
      </w:r>
    </w:p>
    <w:p>
      <w:pPr>
        <w:pStyle w:val="ListBullet"/>
      </w:pPr>
      <w:r>
        <w:t>Resolution: Labor leverage is structural and will continue improving through FY2026 and FY20 (Multi-year thesis -- patience required) — resolves Labor Cost; confirms or challenges</w:t>
      </w:r>
    </w:p>
    <w:p>
      <w:pPr>
        <w:pStyle w:val="ListBullet"/>
      </w:pPr>
      <w:r>
        <w:t>Resolution: Food costs are stable at ~30% of sales per management guidance (Multi-year thesis -- patience required) — resolves Food Cost; confirms or challenges</w:t>
      </w:r>
    </w:p>
    <w:p>
      <w:pPr>
        <w:pStyle w:val="ListBullet"/>
      </w:pPr>
      <w:r>
        <w:t>Resolution: Q2 2026's +8.6% SSS represents a durable comp recovery (Multi-year thesis -- patience required) — resolves Same-Store Sales Growth; confirms or challenges</w:t>
      </w:r>
    </w:p>
    <w:p>
      <w:pPr>
        <w:pStyle w:val="ListBullet"/>
      </w:pPr>
      <w:r>
        <w:t>New store AUV quantification: management has dodged this question twice (Q4 2025 and Q2 2026 Q&amp;A) —  (Unknown timing) — resolves multiple; resolves uncertainty</w:t>
      </w:r>
    </w:p>
    <w:p>
      <w:pPr>
        <w:pStyle w:val="ListBullet"/>
      </w:pPr>
      <w:r>
        <w:t>H2 2026 IP collaboration calendar: the Q2 beat was explicitly attributed to IP-driven plate attachme (Unknown timing) — resolves multiple; resolves uncertainty</w:t>
      </w:r>
    </w:p>
    <w:p>
      <w:pPr>
        <w:pStyle w:val="SectionHeading"/>
      </w:pPr>
      <w:r>
        <w:t>5. Risks, Blind Spots &amp; Kill Criteria</w:t>
      </w:r>
    </w:p>
    <w:p>
      <w:pPr>
        <w:pStyle w:val="SubHeading"/>
      </w:pPr>
      <w:r>
        <w:t>Top risks:</w:t>
      </w:r>
    </w:p>
    <w:p>
      <w:pPr>
        <w:pStyle w:val="ListBullet"/>
      </w:pPr>
      <w:r>
        <w:t>Q2 2026's +8.6% SSS represents a durable comp recovery — counter: Management explicitly attributed the Q2 beat to IP collaboration-driven plate attachment ('guests are eating more plates per person... incentivized to go for that 15th plate'), which is episodic and dependent on the IP calendar. Q4 2025 SSS was only +0.2% and Q1 2026 was -2.5%, suggesting the underlying baseline without IP catalyst support is much weaker. The H2 2026 IP calendar is not disclosed, and if it is weaker than H2 2025's, the comp could revert toward flat. [serious]</w:t>
      </w:r>
    </w:p>
    <w:p>
      <w:pPr>
        <w:pStyle w:val="ListBullet2"/>
      </w:pPr>
      <w:r>
        <w:rPr>
          <w:i/>
        </w:rPr>
        <w:t>→ Research confirms: Management explicitly attributed Q2 SSS beat to IP collaboration success, stating guests are incentivized to reach plate thresholds. However, management also flagged upcoming collaborations (Tamagotchi, Star Rail) and cautioned against modeling 8% comps forward, indicating IP-driven growth is expected to continue rather than end. (investing.com)</w:t>
      </w:r>
    </w:p>
    <w:p>
      <w:pPr>
        <w:pStyle w:val="ListBullet"/>
      </w:pPr>
      <w:r>
        <w:t>Labor leverage is structural and will continue improving through FY2026 and FY2027 — counter: BLS leisure &amp; hospitality average hourly earnings grew +4.0% YoY as of May 2026, above the food-away-from-home CPI of +3.5% — meaning the industry's wage inflation is outpacing menu price inflation. KRUS's 4.5% effective pricing currently covers this, but if pricing power diminishes (consumer sentiment at 49.8, down 4.6% YoY) and wage growth persists, the labor leverage story reverses. Additionally, the sushi slider technology — previously implied as a broad labor efficiency tool — was disclosed in Q2 2026 to be 'limited to new store openings' only, narrowing the efficiency benefit. [moderate]</w:t>
      </w:r>
    </w:p>
    <w:p>
      <w:pPr>
        <w:pStyle w:val="ListBullet"/>
      </w:pPr>
      <w:r>
        <w:t>Food costs are stable at ~30% of sales per management guidance — counter: PPI (all commodities) is up +13.1% YoY as of May 2026 (FRED data), and management disclosed in Q2 2026 that 'minor relief due to changes in tariff types have been offset by commodity inflation' — a new and specific risk not present in prior quarters. The Q2 2026 food cost of 30.4% is already above the 30% guidance midpoint, and if commodity inflation accelerates, the full-year average could breach 30.5-31%. [moderate]</w:t>
      </w:r>
    </w:p>
    <w:p>
      <w:pPr>
        <w:pStyle w:val="KillCriteria"/>
      </w:pPr>
      <w:r>
        <w:t>What would change our mind: Unable to close gap: New store AUV quantification: management has dodged this question twice (Q4 2025 and Q2 2026 Q&amp;A) — without knowing whether new units are opening at 70%, 75%, or 85% of system AUV, the FY2027 revenue build has a ±$15-20M range of uncertainty.</w:t>
      </w:r>
    </w:p>
    <w:p>
      <w:pPr>
        <w:pStyle w:val="SectionHeading"/>
      </w:pPr>
      <w:r>
        <w:t>Appendix</w:t>
      </w:r>
    </w:p>
    <w:p>
      <w:pPr>
        <w:pStyle w:val="SubHeading"/>
      </w:pPr>
      <w:r>
        <w:t>Evidence gaps (research TODO):</w:t>
      </w:r>
    </w:p>
    <w:p>
      <w:pPr>
        <w:pStyle w:val="ListBullet"/>
      </w:pPr>
      <w:r>
        <w:t>New store AUV quantification: management has dodged this question twice (Q4 2025 and Q2 2026 Q&amp;A) — without knowing whether new units are opening at 70%, 75%, or 85% of system AUV, the FY2027 revenue build has a ±$15-20M range of uncertainty.</w:t>
      </w:r>
    </w:p>
    <w:p>
      <w:pPr>
        <w:pStyle w:val="ListBullet"/>
      </w:pPr>
      <w:r>
        <w:t>H2 2026 IP collaboration calendar: the Q2 beat was explicitly attributed to IP-driven plate attachment, but the H2 IP calendar is not disclosed. If H2 IPs are weaker, the comp deceleration could be sharper than modeled.</w:t>
      </w:r>
    </w:p>
    <w:p>
      <w:pPr>
        <w:pStyle w:val="ListBullet"/>
      </w:pPr>
      <w:r>
        <w:t>Commodity inflation specifics: management disclosed 'commodity inflation offsetting tariff relief' in Q2 2026 but did not quantify the magnitude. The PPI at +13.1% YoY suggests significant pressure, but KRUS's specific commodity basket (seafood, rice, imported Japanese ingredients) may diverge from the broad PPI.</w:t>
      </w:r>
    </w:p>
    <w:p>
      <w:pPr>
        <w:pStyle w:val="ListBullet"/>
      </w:pPr>
      <w:r>
        <w:t>CFO transition impact on guidance: the CFO departure was confirmed on the Q2 2026 call but no replacement was named. A new CFO may reset guidance conservatism patterns, either more or less conservative than the current approach.</w:t>
      </w:r>
    </w:p>
    <w:p>
      <w:pPr>
        <w:pStyle w:val="ListBullet"/>
      </w:pPr>
      <w:r>
        <w:t>California labor cost exposure: management referenced reducing 'the impact of the carnival' (California) through new market openings in FY2027, but the current percentage of units in California vs. other states is not disclosed, making the magnitude of the geographic diversification benefit unquantifiable.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