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LYV — LYV</w:t>
      </w:r>
    </w:p>
    <w:p>
      <w:pPr>
        <w:pStyle w:val="SmallMeta"/>
      </w:pPr>
      <w:r>
        <w:t>As of 2026-04-20  |  Schema: general  |  Data: polygon+alpha_vantage (FY2025)</w:t>
      </w:r>
    </w:p>
    <w:p>
      <w:pPr>
        <w:pStyle w:val="SubHeading"/>
      </w:pPr>
      <w:r>
        <w:rPr>
          <w:color w:val="8C1D40"/>
        </w:rPr>
        <w:t>Direction: SHORT | Current: $156.32</w:t>
      </w:r>
    </w:p>
    <w:p>
      <w:pPr>
        <w:pStyle w:val="SubHeading"/>
      </w:pPr>
      <w:r>
        <w:t>Summary</w:t>
      </w:r>
    </w:p>
    <w:p>
      <w:pPr>
        <w:pStyle w:val="ListBullet"/>
      </w:pPr>
      <w:r>
        <w:t>Thesis: Street consensus of $2.23 EPS is mathematically impossible given the structured financials showing -$0.24 diluted EPS on $496M net income. Management guides double-digit AOI growth but the gap between operating income growth and net income conversion suggests hidden cost inflation that consensus isn't modeling.</w:t>
      </w:r>
    </w:p>
    <w:p>
      <w:pPr>
        <w:pStyle w:val="ListBullet"/>
      </w:pPr>
      <w:r>
        <w:t>Next catalyst: Next quarterly earnings report (2026-05-07 (17 days))</w:t>
      </w:r>
    </w:p>
    <w:p>
      <w:pPr>
        <w:pStyle w:val="ListBullet"/>
      </w:pPr>
      <w:r>
        <w:t>Top risk: Management's double-digit AOI growth guidance should drive strong EPS growth</w:t>
      </w:r>
    </w:p>
    <w:p>
      <w:pPr>
        <w:pStyle w:val="SectionHeading"/>
      </w:pPr>
      <w:r>
        <w:t>1. Edge</w:t>
      </w:r>
    </w:p>
    <w:p>
      <w:r>
        <w:t>Street consensus of $2.23 EPS is mathematically impossible given the structured financials showing -$0.24 diluted EPS on $496M net income. Management guides double-digit AOI growth but the gap between operating income growth and net income conversion suggests hidden cost inflation that consensus isn't modeling.</w:t>
      </w:r>
    </w:p>
    <w:p>
      <w:r>
        <w:t>The structured data shows a massive disconnect - $496M net income with negative diluted EPS indicates share dilution or accounting adjustments that consensus EPS of $2.23 completely ignores. Management's confidence in double-digit growth across all segments masks margin compression from venue development costs and international expansion investment that isn't flowing through to bottom line.</w:t>
      </w:r>
    </w:p>
    <w:p>
      <w:r>
        <w:t>The debate: Market focuses on demand sustainability and venue mix optimization, but overlooks the fundamental math problem in the guidance.</w:t>
      </w:r>
    </w:p>
    <w:p>
      <w:pPr>
        <w:pStyle w:val="SubHeading"/>
      </w:pPr>
      <w:r>
        <w:t>What consensus assumes:</w:t>
      </w:r>
    </w:p>
    <w:p>
      <w:pPr>
        <w:pStyle w:val="ListBullet"/>
      </w:pPr>
      <w:r>
        <w:t>revenue_growth_pct: Street likely assumes ~10% revenue growth matching management's double-digit AOI guidance tone, but ignores that 2025 showed 52% operating income growth that didn't translate to positive EPS</w:t>
      </w:r>
    </w:p>
    <w:p>
      <w:pPr>
        <w:pStyle w:val="ListBullet"/>
      </w:pPr>
      <w:r>
        <w:t>venue_mix_optimization: Consensus probably models continued margin expansion from VenuNation growth (70M+ fans expected) but overlooks pre-opening expense drag that management acknowledged</w:t>
      </w:r>
    </w:p>
    <w:p>
      <w:pPr>
        <w:pStyle w:val="SubHeading"/>
      </w:pPr>
      <w:r>
        <w:t>Where we differ from guidance:</w:t>
      </w:r>
    </w:p>
    <w:p>
      <w:pPr>
        <w:pStyle w:val="ListBullet"/>
      </w:pPr>
      <w:r>
        <w:t>aoi_growth: Management guides double-digit AOI growth with high confidence, citing 70% sponsorship already booked and strong venue pipeline. We're skeptical this translates to EPS given the 2025 operating leverage failure.</w:t>
      </w:r>
    </w:p>
    <w:p>
      <w:pPr>
        <w:pStyle w:val="ListBullet"/>
      </w:pPr>
      <w:r>
        <w:t>international_expansion: Management is bullish on LATAM and international markets exceeding US for first time, but we see this as margin-dilutive expansion that won't help near-term profitability</w:t>
      </w:r>
    </w:p>
    <w:p>
      <w:r>
        <w:t>Management tone shift in a recent call: Q4 2025: International markets exceeded U.S. fan count for first time, signaling geographic diversification success</w:t>
      </w:r>
    </w:p>
    <w:p>
      <w:pPr>
        <w:pStyle w:val="PullQuote"/>
      </w:pPr>
      <w:r>
        <w:t>Counter: the analyst claims Street consensus is mathematically impossible and management is hiding cost inflation — but The analyst appears to be working from outdated financials - current results show massive operating leverage (52% op income growth) and strong cash generation. The 'mathematical impossibility' claim suggests the analyst is using wrong baseline numbers, undermining the entire edge thesis</w:t>
      </w:r>
    </w:p>
    <w:p>
      <w:pPr>
        <w:pStyle w:val="PullQuote"/>
      </w:pPr>
      <w:r>
        <w:t>Counter: the analyst claims Market overlooks fundamental math problem while focusing on demand sustainability — but The analyst has identified a 'math problem' that doesn't exist in the actual financials, while missing the real story of international expansion and stadium optimization that could drive sustainable growth. This suggests the analyst is solving yesterday's problem with yesterday's data</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+0.00%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fan_attendance_growth</w:t>
            </w:r>
          </w:p>
        </w:tc>
        <w:tc>
          <w:tcPr>
            <w:tcW w:type="dxa" w:w="2448"/>
            <w:tcBorders>
              <w:top w:val="single" w:sz="4" w:color="BDC3C7"/>
              <w:bottom w:val="single" w:sz="4" w:color="BDC3C7"/>
              <w:left w:val="single" w:sz="4" w:color="BDC3C7"/>
              <w:right w:val="single" w:sz="4" w:color="BDC3C7"/>
            </w:tcBorders>
          </w:tcPr>
          <w:p>
            <w:r>
              <w:t>+1.00%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Q4 2025 call, management reported fan attendance increased 5% to 159 million in 2025, with international markets delivering record fan count and double-d</w:t>
            </w:r>
          </w:p>
        </w:tc>
      </w:tr>
      <w:tr>
        <w:tc>
          <w:tcPr>
            <w:tcW w:type="dxa" w:w="2448"/>
            <w:tcBorders>
              <w:top w:val="single" w:sz="4" w:color="BDC3C7"/>
              <w:bottom w:val="single" w:sz="4" w:color="BDC3C7"/>
              <w:left w:val="single" w:sz="4" w:color="BDC3C7"/>
              <w:right w:val="single" w:sz="4" w:color="BDC3C7"/>
            </w:tcBorders>
          </w:tcPr>
          <w:p>
            <w:r>
              <w:t xml:space="preserve">    venue_mix_premium</w:t>
            </w:r>
          </w:p>
        </w:tc>
        <w:tc>
          <w:tcPr>
            <w:tcW w:type="dxa" w:w="2448"/>
            <w:tcBorders>
              <w:top w:val="single" w:sz="4" w:color="BDC3C7"/>
              <w:bottom w:val="single" w:sz="4" w:color="BDC3C7"/>
              <w:left w:val="single" w:sz="4" w:color="BDC3C7"/>
              <w:right w:val="single" w:sz="4" w:color="BDC3C7"/>
            </w:tcBorders>
          </w:tcPr>
          <w:p>
            <w:r>
              <w:t>+1.00%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The press release noted 'North American stadium fan count more than doubled' and management emphasized stadium strength throughout calls. In Q4 2025 call, CFO s</w:t>
            </w:r>
          </w:p>
        </w:tc>
      </w:tr>
      <w:tr>
        <w:tc>
          <w:tcPr>
            <w:tcW w:type="dxa" w:w="2448"/>
            <w:tcBorders>
              <w:top w:val="single" w:sz="4" w:color="BDC3C7"/>
              <w:bottom w:val="single" w:sz="4" w:color="BDC3C7"/>
              <w:left w:val="single" w:sz="4" w:color="BDC3C7"/>
              <w:right w:val="single" w:sz="4" w:color="BDC3C7"/>
            </w:tcBorders>
          </w:tcPr>
          <w:p>
            <w:r>
              <w:t xml:space="preserve">    ticketing_headwinds</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In the Q4 2025 call, CFO explicitly stated 'on ticketing, I'd say we're not expecting a lot out of it this year. We've got some underlying mid-single digit grow</w:t>
            </w:r>
          </w:p>
        </w:tc>
      </w:tr>
    </w:tbl>
    <w:p>
      <w:pPr>
        <w:pStyle w:val="SubHeading"/>
      </w:pPr>
      <w:r>
        <w:t>Bear revisions:</w:t>
      </w:r>
    </w:p>
    <w:p>
      <w:pPr>
        <w:pStyle w:val="ListBullet"/>
      </w:pPr>
      <w:r>
        <w:t>revenue_growth.venue_mix_premium: 4.0 → 1.0 — Stadium growth may be peaking - tough comps in 2027 after multiple years of double-digit growth, and higher venue development costs offset revenue gains</w:t>
      </w:r>
    </w:p>
    <w:p>
      <w:pPr>
        <w:pStyle w:val="ListBullet"/>
      </w:pPr>
      <w:r>
        <w:t>revenue_growth.fan_attendance_growth: 3.0 → 1.0 — Consumer spending normalization could hit discretionary entertainment spend, particularly given management's emphasis on premium pricing which makes the product less accessible</w:t>
      </w:r>
    </w:p>
    <w:p>
      <w:pPr>
        <w:pStyle w:val="PullQuote"/>
      </w:pPr>
      <w:r>
        <w:t>Counter: the analyst claims Ticketing faces -2% headwinds — but Filing explicitly states ticketing GTV grew 9% to $26B, making the -2% headwind assumption completely wrong. This isn't a minor miss - it's the opposite direction on a key revenue driver</w:t>
      </w:r>
    </w:p>
    <w:p>
      <w:pPr>
        <w:pStyle w:val="SectionHeading"/>
      </w:pPr>
      <w:r>
        <w:t>3. Consensus Gap &amp; Valuation</w:t>
      </w:r>
    </w:p>
    <w:p>
      <w:r>
        <w:t>Our estimate: EPS $-1.29 vs. consensus $2.23 ($3.52 / 157.8% below).</w:t>
      </w:r>
    </w:p>
    <w:p>
      <w:r>
        <w:t>Our estimate is $3.52 (157.8%) below consensus $2.23. Primary driver: revenue_growth.ticketing_headwinds (ours -2.0 vs street +20.1, contributing $-3.983 to EPS variant, evidence: moderate). Variant appears NOT fully priced in based on available market data. Next catalyst: Next quarterly earnings report (2026-05-07 (17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revenue_growth.ticketing_headwinds</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+20.13</w:t>
            </w:r>
          </w:p>
        </w:tc>
        <w:tc>
          <w:tcPr>
            <w:tcW w:type="dxa" w:w="1958"/>
            <w:tcBorders>
              <w:top w:val="single" w:sz="4" w:color="BDC3C7"/>
              <w:bottom w:val="single" w:sz="4" w:color="BDC3C7"/>
              <w:left w:val="single" w:sz="4" w:color="BDC3C7"/>
              <w:right w:val="single" w:sz="4" w:color="BDC3C7"/>
            </w:tcBorders>
          </w:tcPr>
          <w:p>
            <w:r>
              <w:t>-3.983</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revenue_growth.fan_attendance_growth</w:t>
            </w:r>
          </w:p>
        </w:tc>
        <w:tc>
          <w:tcPr>
            <w:tcW w:type="dxa" w:w="1958"/>
            <w:tcBorders>
              <w:top w:val="single" w:sz="4" w:color="BDC3C7"/>
              <w:bottom w:val="single" w:sz="4" w:color="BDC3C7"/>
              <w:left w:val="single" w:sz="4" w:color="BDC3C7"/>
              <w:right w:val="single" w:sz="4" w:color="BDC3C7"/>
            </w:tcBorders>
          </w:tcPr>
          <w:p>
            <w:r>
              <w:t>+1.00</w:t>
            </w:r>
          </w:p>
        </w:tc>
        <w:tc>
          <w:tcPr>
            <w:tcW w:type="dxa" w:w="1958"/>
            <w:tcBorders>
              <w:top w:val="single" w:sz="4" w:color="BDC3C7"/>
              <w:bottom w:val="single" w:sz="4" w:color="BDC3C7"/>
              <w:left w:val="single" w:sz="4" w:color="BDC3C7"/>
              <w:right w:val="single" w:sz="4" w:color="BDC3C7"/>
            </w:tcBorders>
          </w:tcPr>
          <w:p>
            <w:r>
              <w:t>+20.13</w:t>
            </w:r>
          </w:p>
        </w:tc>
        <w:tc>
          <w:tcPr>
            <w:tcW w:type="dxa" w:w="1958"/>
            <w:tcBorders>
              <w:top w:val="single" w:sz="4" w:color="BDC3C7"/>
              <w:bottom w:val="single" w:sz="4" w:color="BDC3C7"/>
              <w:left w:val="single" w:sz="4" w:color="BDC3C7"/>
              <w:right w:val="single" w:sz="4" w:color="BDC3C7"/>
            </w:tcBorders>
          </w:tcPr>
          <w:p>
            <w:r>
              <w:t>-3.443</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revenue_growth.venue_mix_premium</w:t>
            </w:r>
          </w:p>
        </w:tc>
        <w:tc>
          <w:tcPr>
            <w:tcW w:type="dxa" w:w="1958"/>
            <w:tcBorders>
              <w:top w:val="single" w:sz="4" w:color="BDC3C7"/>
              <w:bottom w:val="single" w:sz="4" w:color="BDC3C7"/>
              <w:left w:val="single" w:sz="4" w:color="BDC3C7"/>
              <w:right w:val="single" w:sz="4" w:color="BDC3C7"/>
            </w:tcBorders>
          </w:tcPr>
          <w:p>
            <w:r>
              <w:t>+1.00</w:t>
            </w:r>
          </w:p>
        </w:tc>
        <w:tc>
          <w:tcPr>
            <w:tcW w:type="dxa" w:w="1958"/>
            <w:tcBorders>
              <w:top w:val="single" w:sz="4" w:color="BDC3C7"/>
              <w:bottom w:val="single" w:sz="4" w:color="BDC3C7"/>
              <w:left w:val="single" w:sz="4" w:color="BDC3C7"/>
              <w:right w:val="single" w:sz="4" w:color="BDC3C7"/>
            </w:tcBorders>
          </w:tcPr>
          <w:p>
            <w:r>
              <w:t>+20.13</w:t>
            </w:r>
          </w:p>
        </w:tc>
        <w:tc>
          <w:tcPr>
            <w:tcW w:type="dxa" w:w="1958"/>
            <w:tcBorders>
              <w:top w:val="single" w:sz="4" w:color="BDC3C7"/>
              <w:bottom w:val="single" w:sz="4" w:color="BDC3C7"/>
              <w:left w:val="single" w:sz="4" w:color="BDC3C7"/>
              <w:right w:val="single" w:sz="4" w:color="BDC3C7"/>
            </w:tcBorders>
          </w:tcPr>
          <w:p>
            <w:r>
              <w:t>-3.443</w:t>
            </w:r>
          </w:p>
        </w:tc>
        <w:tc>
          <w:tcPr>
            <w:tcW w:type="dxa" w:w="1958"/>
            <w:tcBorders>
              <w:top w:val="single" w:sz="4" w:color="BDC3C7"/>
              <w:bottom w:val="single" w:sz="4" w:color="BDC3C7"/>
              <w:left w:val="single" w:sz="4" w:color="BDC3C7"/>
              <w:right w:val="single" w:sz="4" w:color="BDC3C7"/>
            </w:tcBorders>
          </w:tcPr>
          <w:p>
            <w:r>
              <w:t>0.35</w:t>
            </w:r>
          </w:p>
        </w:tc>
      </w:tr>
    </w:tbl>
    <w:p>
      <w:r>
        <w:t>Priced in: not fully — Variant (-157.8%) exceeds implied move (2.4%). Short interest 13.0% neutral</w:t>
      </w:r>
    </w:p>
    <w:p>
      <w:r>
        <w:t>Edge verdict: ACTIONABLE_EDGE (score 0.156).</w:t>
      </w:r>
    </w:p>
    <w:p>
      <w:pPr>
        <w:pStyle w:val="SectionHeading"/>
      </w:pPr>
      <w:r>
        <w:t>4. Catalysts</w:t>
      </w:r>
    </w:p>
    <w:p>
      <w:pPr>
        <w:pStyle w:val="ListBullet"/>
      </w:pPr>
      <w:r>
        <w:t>Next quarterly earnings report (2026-05-07 (17 days)) — resolves revenue + margins + guidance; confirms or challenges</w:t>
      </w:r>
    </w:p>
    <w:p>
      <w:pPr>
        <w:pStyle w:val="ListBullet"/>
      </w:pPr>
      <w:r>
        <w:t>Resolution: Management's double-digit AOI growth guidance should drive strong EPS growth (Resolves at earnings (2026-05-07)) — resolves revenue_growth; confirms or challenges</w:t>
      </w:r>
    </w:p>
    <w:p>
      <w:pPr>
        <w:pStyle w:val="ListBullet"/>
      </w:pPr>
      <w:r>
        <w:t>Resolution: International expansion and venue development drive margin expansion (Resolves at earnings (2026-05-07)) — resolves revenue_growth; confirms or challenges</w:t>
      </w:r>
    </w:p>
    <w:p>
      <w:pPr>
        <w:pStyle w:val="ListBullet"/>
      </w:pPr>
      <w:r>
        <w:t>Resolution: Analyst blind spot (Multi-year thesis -- patience required) — resolves general; confirms or challenges</w:t>
      </w:r>
    </w:p>
    <w:p>
      <w:pPr>
        <w:pStyle w:val="ListBullet"/>
      </w:pPr>
      <w:r>
        <w:t>Specific reconciliation between positive net income and negative diluted EPS - what drove the share  (Unknown timing) — resolves multiple; resolves uncertainty</w:t>
      </w:r>
    </w:p>
    <w:p>
      <w:pPr>
        <w:pStyle w:val="ListBullet"/>
      </w:pPr>
      <w:r>
        <w:t>Breakdown of the $15B artist investment - is this a one-time or recurring cash outflow? (Unknown timing) — resolves multiple; resolves uncertainty</w:t>
      </w:r>
    </w:p>
    <w:p>
      <w:pPr>
        <w:pStyle w:val="SectionHeading"/>
      </w:pPr>
      <w:r>
        <w:t>5. Risks, Blind Spots &amp; Kill Criteria</w:t>
      </w:r>
    </w:p>
    <w:p>
      <w:pPr>
        <w:pStyle w:val="SubHeading"/>
      </w:pPr>
      <w:r>
        <w:t>Top risks:</w:t>
      </w:r>
    </w:p>
    <w:p>
      <w:pPr>
        <w:pStyle w:val="ListBullet"/>
      </w:pPr>
      <w:r>
        <w:t>Management's double-digit AOI growth guidance should drive strong EPS growth — counter: The structured financials show operating income of $1.251B (5.0% margin) produced net income of only $496M, yet diluted EPS is negative $0.24 despite positive net income. This suggests massive share dilution or non-cash charges that will persist. Net interest expense of $165.6M on growing debt load for venue development creates additional EPS drag. [serious]</w:t>
      </w:r>
    </w:p>
    <w:p>
      <w:pPr>
        <w:pStyle w:val="ListBullet"/>
      </w:pPr>
      <w:r>
        <w:t>Street consensus of $2.23 EPS is mathematically impossible given structured financials showing -$0.24 diluted EPS on $496M net income — counter: The filing shows operating income of $1.3B (up 52%) and AOI of $2.4B (up 10%) - these are massive positive numbers that could easily support positive EPS, not negative. The analyst appears to be using stale or incorrect financial data [serious]</w:t>
      </w:r>
    </w:p>
    <w:p>
      <w:pPr>
        <w:pStyle w:val="ListBullet"/>
      </w:pPr>
      <w:r>
        <w:t>Gap between operating income growth and net income conversion suggests hidden cost inflation — counter: Operating income grew 52% to $1.3B while AOI grew 10% to $2.4B - this actually suggests exceptional operational leverage, not cost inflation. The analyst has the relationship backwards [serious]</w:t>
      </w:r>
    </w:p>
    <w:p>
      <w:pPr>
        <w:pStyle w:val="SubHeading"/>
      </w:pPr>
      <w:r>
        <w:t>Blind spots (auditor-independent):</w:t>
      </w:r>
    </w:p>
    <w:p>
      <w:pPr>
        <w:pStyle w:val="ListBullet"/>
      </w:pPr>
      <w:r>
        <w:t>The analyst completely ignores that Live Nation invested 'nearly $15 billion in artists and shows' - this massive cash outlay could explain any EPS/net income disconnect without implying operational problems</w:t>
      </w:r>
    </w:p>
    <w:p>
      <w:pPr>
        <w:pStyle w:val="ListBullet"/>
      </w:pPr>
      <w:r>
        <w:t>International expansion story is missed - filing shows international markets exceeded US fan count for first time with double-digit growth, suggesting structural shift in revenue mix</w:t>
      </w:r>
    </w:p>
    <w:p>
      <w:pPr>
        <w:pStyle w:val="ListBullet"/>
      </w:pPr>
      <w:r>
        <w:t>Stadium economics optimization - North American stadium fan count 'more than doubled', indicating major venue mix improvements the analyst isn't capturing</w:t>
      </w:r>
    </w:p>
    <w:p>
      <w:pPr>
        <w:pStyle w:val="KillCriteria"/>
      </w:pPr>
      <w:r>
        <w:t>What would change our mind: Print on revenue_growth.ticketing_headwinds comes in above our -2.0 figure (toward street +20.1) in the next 1-2 prints.</w:t>
      </w:r>
    </w:p>
    <w:p>
      <w:pPr>
        <w:pStyle w:val="SectionHeading"/>
      </w:pPr>
      <w:r>
        <w:t>Appendix</w:t>
      </w:r>
    </w:p>
    <w:p>
      <w:pPr>
        <w:pStyle w:val="SubHeading"/>
      </w:pPr>
      <w:r>
        <w:t>Business context:</w:t>
      </w:r>
    </w:p>
    <w:p>
      <w:r>
        <w:t>Live Nation is a vertically integrated live entertainment company operating concerts (promoter and venue operator), ticketing (Ticketmaster), and sponsorship. They make money by taking a cut of live event economics across the entire value chain.</w:t>
      </w:r>
    </w:p>
    <w:p>
      <w:pPr>
        <w:pStyle w:val="SubHeading"/>
      </w:pPr>
      <w:r>
        <w:t>Evidence gaps (research TODO):</w:t>
      </w:r>
    </w:p>
    <w:p>
      <w:pPr>
        <w:pStyle w:val="ListBullet"/>
      </w:pPr>
      <w:r>
        <w:t>Specific reconciliation between positive net income and negative diluted EPS - what drove the share count impact?</w:t>
      </w:r>
    </w:p>
    <w:p>
      <w:pPr>
        <w:pStyle w:val="ListBullet"/>
      </w:pPr>
      <w:r>
        <w:t>Breakdown of the $15B artist investment - is this a one-time or recurring cash outflow?</w:t>
      </w:r>
    </w:p>
    <w:p>
      <w:pPr>
        <w:pStyle w:val="ListBullet"/>
      </w:pPr>
      <w:r>
        <w:t>Timeline and cost profile for venue development pipeline that's driving pre-opening expenses</w:t>
      </w:r>
    </w:p>
    <w:p>
      <w:pPr>
        <w:pStyle w:val="ListBullet"/>
      </w:pPr>
      <w:r>
        <w:t>Secondary market headwinds specifics that are pressuring Ticketmaster</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