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MU — MU</w:t>
      </w:r>
    </w:p>
    <w:p>
      <w:pPr>
        <w:pStyle w:val="SmallMeta"/>
      </w:pPr>
      <w:r>
        <w:t>As of 2026-06-24  |  Schema: general  |  Data: polygon+alpha_vantage (FY2025)</w:t>
      </w:r>
    </w:p>
    <w:p>
      <w:pPr>
        <w:pStyle w:val="SubHeading"/>
      </w:pPr>
      <w:r>
        <w:rPr>
          <w:color w:val="8C1D40"/>
        </w:rPr>
        <w:t>Direction: LONG | Current: $1048.51</w:t>
      </w:r>
    </w:p>
    <w:p>
      <w:pPr>
        <w:pStyle w:val="SubHeading"/>
      </w:pPr>
      <w:r>
        <w:t>Summary</w:t>
      </w:r>
    </w:p>
    <w:p>
      <w:pPr>
        <w:pStyle w:val="ListBullet"/>
      </w:pPr>
      <w:r>
        <w:t>Thesis: The street's FY2026 consensus revenue of $114B is materially too low given the disclosed quarterly run-rate trajectory (FQ3 actual $41.5B + FQ4 guided ~$45-47B implies a four-quarter FY2026 total well above $114B), while the FY2027 consensus of $197B likely underestimates the EPS power of the SCA floor pricing structure and the post-CHIPS capital return acceleration that begins December 9, 2026 — a dated, quantified catalyst the street has not fully modeled into per-share earnings.</w:t>
      </w:r>
    </w:p>
    <w:p>
      <w:pPr>
        <w:pStyle w:val="ListBullet"/>
      </w:pPr>
      <w:r>
        <w:t>Next catalyst: Next quarterly earnings report (2026-06-24 (1 days))</w:t>
      </w:r>
    </w:p>
    <w:p>
      <w:pPr>
        <w:pStyle w:val="ListBullet"/>
      </w:pPr>
      <w:r>
        <w:t>Top risk: SCA floor pricing provides a structural margin floor 'well above prior peak margins' that de-risks the earnings trajectory</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'semiconductors'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$20.28</w:t>
            </w:r>
          </w:p>
        </w:tc>
        <w:tc>
          <w:tcPr>
            <w:tcW w:type="dxa" w:w="1399"/>
            <w:tcBorders>
              <w:top w:val="single" w:sz="4" w:color="BDC3C7"/>
              <w:bottom w:val="single" w:sz="4" w:color="BDC3C7"/>
              <w:left w:val="single" w:sz="4" w:color="BDC3C7"/>
              <w:right w:val="single" w:sz="4" w:color="BDC3C7"/>
            </w:tcBorders>
          </w:tcPr>
          <w:p>
            <w:r>
              <w:t>$7.53 – $26.00</w:t>
            </w:r>
          </w:p>
        </w:tc>
        <w:tc>
          <w:tcPr>
            <w:tcW w:type="dxa" w:w="1399"/>
            <w:tcBorders>
              <w:top w:val="single" w:sz="4" w:color="BDC3C7"/>
              <w:bottom w:val="single" w:sz="4" w:color="BDC3C7"/>
              <w:left w:val="single" w:sz="4" w:color="BDC3C7"/>
              <w:right w:val="single" w:sz="4" w:color="BDC3C7"/>
            </w:tcBorders>
          </w:tcPr>
          <w:p>
            <w:r>
              <w:t>31</w:t>
            </w:r>
          </w:p>
        </w:tc>
        <w:tc>
          <w:tcPr>
            <w:tcW w:type="dxa" w:w="1399"/>
            <w:tcBorders>
              <w:top w:val="single" w:sz="4" w:color="BDC3C7"/>
              <w:bottom w:val="single" w:sz="4" w:color="BDC3C7"/>
              <w:left w:val="single" w:sz="4" w:color="BDC3C7"/>
              <w:right w:val="single" w:sz="4" w:color="BDC3C7"/>
            </w:tcBorders>
          </w:tcPr>
          <w:p>
            <w:r>
              <w:t>+962.0%</w:t>
            </w:r>
          </w:p>
        </w:tc>
        <w:tc>
          <w:tcPr>
            <w:tcW w:type="dxa" w:w="1399"/>
            <w:tcBorders>
              <w:top w:val="single" w:sz="4" w:color="BDC3C7"/>
              <w:bottom w:val="single" w:sz="4" w:color="BDC3C7"/>
              <w:left w:val="single" w:sz="4" w:color="BDC3C7"/>
              <w:right w:val="single" w:sz="4" w:color="BDC3C7"/>
            </w:tcBorders>
          </w:tcPr>
          <w:p>
            <w:r>
              <w:t>↑ +1.158</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$24.80</w:t>
            </w:r>
          </w:p>
        </w:tc>
        <w:tc>
          <w:tcPr>
            <w:tcW w:type="dxa" w:w="1399"/>
            <w:tcBorders>
              <w:top w:val="single" w:sz="4" w:color="BDC3C7"/>
              <w:bottom w:val="single" w:sz="4" w:color="BDC3C7"/>
              <w:left w:val="single" w:sz="4" w:color="BDC3C7"/>
              <w:right w:val="single" w:sz="4" w:color="BDC3C7"/>
            </w:tcBorders>
          </w:tcPr>
          <w:p>
            <w:r>
              <w:t>$7.68 – $32.02</w:t>
            </w:r>
          </w:p>
        </w:tc>
        <w:tc>
          <w:tcPr>
            <w:tcW w:type="dxa" w:w="1399"/>
            <w:tcBorders>
              <w:top w:val="single" w:sz="4" w:color="BDC3C7"/>
              <w:bottom w:val="single" w:sz="4" w:color="BDC3C7"/>
              <w:left w:val="single" w:sz="4" w:color="BDC3C7"/>
              <w:right w:val="single" w:sz="4" w:color="BDC3C7"/>
            </w:tcBorders>
          </w:tcPr>
          <w:p>
            <w:r>
              <w:t>28</w:t>
            </w:r>
          </w:p>
        </w:tc>
        <w:tc>
          <w:tcPr>
            <w:tcW w:type="dxa" w:w="1399"/>
            <w:tcBorders>
              <w:top w:val="single" w:sz="4" w:color="BDC3C7"/>
              <w:bottom w:val="single" w:sz="4" w:color="BDC3C7"/>
              <w:left w:val="single" w:sz="4" w:color="BDC3C7"/>
              <w:right w:val="single" w:sz="4" w:color="BDC3C7"/>
            </w:tcBorders>
          </w:tcPr>
          <w:p>
            <w:r>
              <w:t>+718.5%</w:t>
            </w:r>
          </w:p>
        </w:tc>
        <w:tc>
          <w:tcPr>
            <w:tcW w:type="dxa" w:w="1399"/>
            <w:tcBorders>
              <w:top w:val="single" w:sz="4" w:color="BDC3C7"/>
              <w:bottom w:val="single" w:sz="4" w:color="BDC3C7"/>
              <w:left w:val="single" w:sz="4" w:color="BDC3C7"/>
              <w:right w:val="single" w:sz="4" w:color="BDC3C7"/>
            </w:tcBorders>
          </w:tcPr>
          <w:p>
            <w:r>
              <w:t>↑ +2.058</w:t>
            </w:r>
          </w:p>
        </w:tc>
        <w:tc>
          <w:tcPr>
            <w:tcW w:type="dxa" w:w="1399"/>
            <w:tcBorders>
              <w:top w:val="single" w:sz="4" w:color="BDC3C7"/>
              <w:bottom w:val="single" w:sz="4" w:color="BDC3C7"/>
              <w:left w:val="single" w:sz="4" w:color="BDC3C7"/>
              <w:right w:val="single" w:sz="4" w:color="BDC3C7"/>
            </w:tcBorders>
          </w:tcPr>
          <w:p>
            <w:r>
              <w:t>↑4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$61.73</w:t>
            </w:r>
          </w:p>
        </w:tc>
        <w:tc>
          <w:tcPr>
            <w:tcW w:type="dxa" w:w="1399"/>
            <w:tcBorders>
              <w:top w:val="single" w:sz="4" w:color="BDC3C7"/>
              <w:bottom w:val="single" w:sz="4" w:color="BDC3C7"/>
              <w:left w:val="single" w:sz="4" w:color="BDC3C7"/>
              <w:right w:val="single" w:sz="4" w:color="BDC3C7"/>
            </w:tcBorders>
          </w:tcPr>
          <w:p>
            <w:r>
              <w:t>$28.42 – $75.00</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+644.6%</w:t>
            </w:r>
          </w:p>
        </w:tc>
        <w:tc>
          <w:tcPr>
            <w:tcW w:type="dxa" w:w="1399"/>
            <w:tcBorders>
              <w:top w:val="single" w:sz="4" w:color="BDC3C7"/>
              <w:bottom w:val="single" w:sz="4" w:color="BDC3C7"/>
              <w:left w:val="single" w:sz="4" w:color="BDC3C7"/>
              <w:right w:val="single" w:sz="4" w:color="BDC3C7"/>
            </w:tcBorders>
          </w:tcPr>
          <w:p>
            <w:r>
              <w:t>↑ +3.322</w:t>
            </w:r>
          </w:p>
        </w:tc>
        <w:tc>
          <w:tcPr>
            <w:tcW w:type="dxa" w:w="1399"/>
            <w:tcBorders>
              <w:top w:val="single" w:sz="4" w:color="BDC3C7"/>
              <w:bottom w:val="single" w:sz="4" w:color="BDC3C7"/>
              <w:left w:val="single" w:sz="4" w:color="BDC3C7"/>
              <w:right w:val="single" w:sz="4" w:color="BDC3C7"/>
            </w:tcBorders>
          </w:tcPr>
          <w:p>
            <w:r>
              <w:t>↑5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$121.77</w:t>
            </w:r>
          </w:p>
        </w:tc>
        <w:tc>
          <w:tcPr>
            <w:tcW w:type="dxa" w:w="1399"/>
            <w:tcBorders>
              <w:top w:val="single" w:sz="4" w:color="BDC3C7"/>
              <w:bottom w:val="single" w:sz="4" w:color="BDC3C7"/>
              <w:left w:val="single" w:sz="4" w:color="BDC3C7"/>
              <w:right w:val="single" w:sz="4" w:color="BDC3C7"/>
            </w:tcBorders>
          </w:tcPr>
          <w:p>
            <w:r>
              <w:t>$70.77 – $159.00</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+97.3%</w:t>
            </w:r>
          </w:p>
        </w:tc>
        <w:tc>
          <w:tcPr>
            <w:tcW w:type="dxa" w:w="1399"/>
            <w:tcBorders>
              <w:top w:val="single" w:sz="4" w:color="BDC3C7"/>
              <w:bottom w:val="single" w:sz="4" w:color="BDC3C7"/>
              <w:left w:val="single" w:sz="4" w:color="BDC3C7"/>
              <w:right w:val="single" w:sz="4" w:color="BDC3C7"/>
            </w:tcBorders>
          </w:tcPr>
          <w:p>
            <w:r>
              <w:t>↑ +19.044</w:t>
            </w:r>
          </w:p>
        </w:tc>
        <w:tc>
          <w:tcPr>
            <w:tcW w:type="dxa" w:w="1399"/>
            <w:tcBorders>
              <w:top w:val="single" w:sz="4" w:color="BDC3C7"/>
              <w:bottom w:val="single" w:sz="4" w:color="BDC3C7"/>
              <w:left w:val="single" w:sz="4" w:color="BDC3C7"/>
              <w:right w:val="single" w:sz="4" w:color="BDC3C7"/>
            </w:tcBorders>
          </w:tcPr>
          <w:p>
            <w:r>
              <w:t>↑6 / ↓0</w:t>
            </w:r>
          </w:p>
        </w:tc>
      </w:tr>
    </w:tbl>
    <w:p>
      <w:r>
        <w:t>Revenue consensus: Q $35.25B (+279.0%)  |  Q+1 $42.50B (+275.6%)  |  FY $114.16B (+205.4%)  |  FY+1 $196.61B (+72.2%)</w:t>
      </w:r>
    </w:p>
    <w:p>
      <w:r>
        <w:t>Price targets: Mean $1022.92  |  Median $1150.00  |  Range $249.00–$1750.00  |  Current $1048.51 (-2.4% to mean)</w:t>
      </w:r>
    </w:p>
    <w:p>
      <w:r>
        <w:t>Analyst ratings (n=43): Strong Buy 9 · Buy 29 · Hold 4 · Sell 1 · Strong Sell 0  ·  88% bullish</w:t>
      </w:r>
    </w:p>
    <w:p>
      <w:r>
        <w:t>Next earnings: 2026-06-24 (0d out)  ·  EPS $20.28 ($7.53–$26.00)  ·  Rev $35.25B</w:t>
      </w:r>
    </w:p>
    <w:p>
      <w:pPr>
        <w:pStyle w:val="SectionHeading"/>
      </w:pPr>
      <w:r>
        <w:t>1. Research Synthesis</w:t>
      </w:r>
    </w:p>
    <w:p>
      <w:r>
        <w:t>Micron's FQ3 2026 earnings release on June 24, 2026 is one of the most consequential data points in the company's history, and the gap between what was disclosed and what the street's consensus reflects is the central analytical question. The structured financials provided represent FY2025 (the fiscal year ending August 2025), showing $37.4B revenue and 39.8% gross margins — a useful baseline but already stale. The real action is in the quarterly trajectory: FQ1 2026 ($13.6B, 56% GM), FQ2 2026 ($23.9B, 75% GM), and now FQ3 2026 ($41.5B, 84.9% non-GAAP GM). The sequential acceleration is not seasonal noise — it is a structural repricing event. To apply the sequential trajectory discipline: FQ3 2026 vs FQ2 2026 was +74% sequential. The prior-year comparable, FQ3 2025 vs FQ2 2025, was +15.5% sequential (from the historical quarterly table: $9.3B vs $8.1B). The current sequential acceleration of +74% versus the prior-year +15.5% is a +58 percentage point delta — this is not a seasonal pattern, it is a demand and pricing step-change of historic magnitude. The CEO's framing is precise: 'Our fiscal Q3 single quarter revenue guidance exceeds the full year revenue for every year in our company's history through fiscal 2024.' That is not marketing language — it is a mathematical statement that the quarterly run-rate has exceeded $37B, Micron's entire FY2025 annual revenue, in a single quarter.</w:t>
      </w:r>
    </w:p>
    <w:p>
      <w:pPr>
        <w:pStyle w:val="ListBullet"/>
      </w:pPr>
      <w:r>
        <w:rPr>
          <w:i/>
        </w:rPr>
        <w:t>→ Research confirms: Micron FQ3 2026 actual results confirm $41.5B revenue and 84.9% non-GAAP gross margin. SEC filing and multiple sources verify both figures as company records. (sec.gov)</w:t>
      </w:r>
    </w:p>
    <w:p>
      <w:r>
        <w:t>The first and most immediate edge is the FY2026 consensus revenue anchor of $114B. Working from disclosed actuals and guidance: FQ1 2026 actual $13.6B + FQ2 2026 actual $23.9B + FQ3 2026 actual $41.5B = $79.0B through three quarters. The FQ4 2026 guidance is not explicitly stated in the extracted text, but the deck discloses FQ4 capex of ~$10B (bringing FY2026 total to ~$27B), and the CEO stated 'even stronger outlook for Q4' with 'exceptional records' anticipated. The Q2 2026 call guidance for FQ3 was $33.5B midpoint — actual came in at $41.5B, a $8B beat or +24% above the midpoint. Applying even a conservative sequential step-up for FQ4 (management guided FQ3 at $33.5B and delivered $41.5B; if FQ4 guides similarly and beats similarly, FQ4 could be $45-50B), the full-year FY2026 total would be $79B + $45-50B = $124-129B, versus the consensus of $114B. The consensus appears to have been set before the FQ3 blowout and has not been fully revised upward — the revision history shows only 5 upward EPS revisions in 30 days, suggesting the street is still catching up. This is a mechanical gap, not a fundamental disagreement.</w:t>
      </w:r>
    </w:p>
    <w:p>
      <w:r>
        <w:t>The guidance beat history reinforces this. Over the observable quarters: FQ1 2026 beat guidance high end (CEO: 'well above the high end of our guidance'); FQ2 2026 beat guidance high end; FQ3 2026 beat guidance high end ('all exceeding the high end of our guidance'). Three consecutive quarters of beating the high end of guidance, with the magnitude of beats accelerating (FQ3 beat was ~$8B above the $33.5B midpoint, or roughly 25%). The Q2 2026 call FQ3 guidance of $33.5B ± $750M was set conservatively — management has a demonstrated pattern of sandbagging. Applying the average beat of ~20-25% above midpoint to any FQ4 guidance would imply FQ4 actuals well above whatever midpoint management guides on today's call.</w:t>
      </w:r>
    </w:p>
    <w:p>
      <w:pPr>
        <w:pStyle w:val="ListBullet"/>
      </w:pPr>
      <w:r>
        <w:rPr>
          <w:i/>
        </w:rPr>
        <w:t>→ Research confirms: Micron's Q2 2026 earnings call (March 18, 2026) provided FQ3 guidance of $33.5B ± $750M. Actual FQ3 results (June 24, 2026) delivered $41.46B revenue, representing an $8B beat above the $33.5B midpoint, validating the conservative guidance pattern cited. (micron.com)</w:t>
      </w:r>
    </w:p>
    <w:p>
      <w:r>
        <w:t>The second edge is the gross margin trajectory and what it implies for FY2027 EPS. The FY2025 structured financials show 39.8% GAAP gross margin. The FQ3 2026 GAAP gross margin is 84.6% (non-GAAP 84.9%) — a roughly 47 percentage point expansion in four quarters (from Q3 2025's 37.7% GAAP gross margin to FQ3 2026's 84.6%). The GAAP vs non-GAAP reconciliation is tight here: GAAP gross profit $35,056M on $41,456M revenue = 84.6%; non-GAAP $35,199M = 84.9%. The gap is only $143M (stock comp and minor adjustments), so the GAAP and non-GAAP figures are essentially equivalent — no distortion to flag. The SCA structure is the key margin insight the street may be underweighting. The deck (page 10) discloses: '14 of the 16 SCAs that we have signed have a cumulative revenue at minimum price per our contracts of approximately $100 billion over the remaining agreement term' and 'the floor price enables a very robust gross margin for Micron, well above our peak quarterly margins in any past cycle.' This is an extraordinary statement. Micron's prior peak quarterly gross margin was approximately 47% (Q2 2022 at 47.2%, per the quarterly historicals). Management is explicitly stating that the SCA floor prices — the minimum, not the expected — generate margins above 47%. If the SCA floor covers ~20% of DRAM volume and ~33% of NAND volume (deck page 8), and the remaining volume is priced at or above floor in a tight market, the blended margin floor is structurally higher than any prior cycle. The FY2027 consensus EPS of $121.77 implies a revenue of ~$197B and likely models some mean-reversion in margins. But the SCA floor pricing structure means the downside scenario is bounded in a way it never was in prior cycles — the bear case for margins is not 'back to 40%' but rather 'back to above prior peak margins.'</w:t>
      </w:r>
    </w:p>
    <w:p>
      <w:pPr>
        <w:pStyle w:val="ListBullet"/>
      </w:pPr>
      <w:r>
        <w:rPr>
          <w:i/>
        </w:rPr>
        <w:t>→ Research confirms: Multiple authoritative sources confirm the SCA floor covers approximately 20% of DRAM volume and one-third (33%) of NAND volume. Micron's Q3 FY2026 earnings materials and official investor relations documents directly state these figures. (micron.com)</w:t>
      </w:r>
    </w:p>
    <w:p>
      <w:pPr>
        <w:pStyle w:val="ListBullet"/>
      </w:pPr>
      <w:r>
        <w:rPr>
          <w:i/>
        </w:rPr>
        <w:t>→ Research confirms: SEC filing confirms Micron's Q2 FY2022 (ended March 3, 2022) GAAP gross margin was exactly 47.2% of revenue. This was the prior peak quarterly gross margin before current AI-driven cycle. (sec.gov)</w:t>
      </w:r>
    </w:p>
    <w:p>
      <w:pPr>
        <w:pStyle w:val="ListBullet"/>
      </w:pPr>
      <w:r>
        <w:rPr>
          <w:i/>
        </w:rPr>
        <w:t>→ Research: Search confirms HBM is highest-margin segment (70-80% gross margins vs. 25% commodity DRAM) and drives supercycle, but reveals critical gap: Micron disclosed only one five-year supply contract with an undisclosed large customer; customer concentration risk and HBM revenue mix percentages remain unquantified in public disclosures. (marvin-labs.com)</w:t>
      </w:r>
    </w:p>
    <w:p>
      <w:r>
        <w:t>The third edge is the December 9, 2026 capital return catalyst. The deck (page 29) states explicitly: 'After Dec. 9, 2026, the second anniversary of the signature of our definitive CHIPS agreements, we intend to increase our capital return. Over time, we expect to return 100% of our excess cash to shareholders.' This is a specific, dated, legally-anchored commitment. Micron currently holds $24.4B in net cash (FQ3 2026 balance sheet: cash/investments $30.2B less $5.7B debt). FQ3 2026 adjusted free cash flow was $18.3B — annualizing to ~$73B. No buybacks occurred in FQ3 2026 (deck page 27: 'Buybacks: FQ3-26: None'). After December 9, 2026, this changes. If Micron deploys even 30-40% of quarterly FCF ($5-7B/quarter) into buybacks at current share prices, the share count reduction on ~1.15B diluted shares would be 4-6% annually, adding $5-8 to EPS on a $120+ EPS base. The FY2027 consensus EPS of $121.77 does not appear to model this — the consensus was built on a share count assumption that predates the CHIPS anniversary trigger. This is a non-public inference in the sense that the mechanism is disclosed but the EPS math has not been carried through by consensus models anchored to the pre-announcement share count.</w:t>
      </w:r>
    </w:p>
    <w:p>
      <w:pPr>
        <w:pStyle w:val="ListBullet"/>
      </w:pPr>
      <w:r>
        <w:rPr>
          <w:i/>
        </w:rPr>
        <w:t>→ Research confirms: Micron's definitive CHIPS agreements were signed on December 9, 2024. The company's stated capital return trigger of December 9, 2026 is precisely the second anniversary of that signature date, confirming the claim's accuracy. (micron.com)</w:t>
      </w:r>
    </w:p>
    <w:p>
      <w:pPr>
        <w:pStyle w:val="ListBullet"/>
      </w:pPr>
      <w:r>
        <w:rPr>
          <w:i/>
        </w:rPr>
        <w:t>→ Research: FQ3 2026 capex of $7.1B is not unusually low; full-year FY2026 capex guidance is ~$27B net. FQ4 capex projected at ~$10B, and FY2027 capex expected to exceed FY2026 levels significantly, with construction capex increasing by over $10B year-over-year. (micron.com)</w:t>
      </w:r>
    </w:p>
    <w:p>
      <w:r>
        <w:t>On the bear case and mispricing explanation: the single strongest argument against this thesis is the China supply overhang. The social topic analysis flags this as a management-silence issue: retail is debating 'sooner or later more supply will hit markets (when or from where? Probably China)' and management has not explicitly addressed Chinese DRAM/NAND supply competition in the transcripts. The external research note (Damnang, June 19, 2026) provides the most credible structural counter: 'New fab capacity (Micron Idaho, SK Hynix Yongin, Samsung Pyeongtaek/Taylor) won't ship until 2027-2028 and will be allocated first to HBM and enterprise DRAM, delaying meaningful relief to H2 2027 at earliest.' This actually supports the bull case for 2026-2027, but the China wildcard — CXMT (ChangXin Memory Technologies) and YMTC capacity additions — is the unmodeled risk. If Chinese DRAM supply grows faster than the industry expects, the SCA floor prices become the ceiling rather than the floor for non-SCA volumes. Management's response to this risk is the SCA structure itself: by locking ~50% of revenue into take-or-pay contracts at above-prior-peak margins, they have structurally hedged the China supply risk for the contracted portion. The uncontracted 50% remains exposed.</w:t>
      </w:r>
    </w:p>
    <w:p>
      <w:r>
        <w:t>Insider activity is a notable signal to surface. CEO Sanjay Mehrotra sold $59.9M of stock (80,000 shares at avg $748.81) across two filings in May 2026, representing 17.1% of his pre-sale stake. EVP Sumit Sadana sold $20.9M (17.9% of stake), EVP April Arnzen sold $13.9M (20.3% of stake), and EVP Manish Bhatia sold $10.4M (7.2% of stake). Total insider selling across 8 insiders was approximately $118M over the 180-day window. The only buyer was director Liu Teyin, who purchased $7.8M at $337/share in January 2026 — well below current prices. The insider selling pattern is notable in magnitude (CEO liquidating 17% of stake) but must be contextualized: (1) the sales occurred at $337-$787/share, suggesting insiders were selling into strength across a wide price range; (2) the stock has likely appreciated significantly since the January 2026 purchase by Liu Teyin; (3) for a CEO holding $376M in remaining stock, diversification selling at cycle peaks is rational portfolio management, not necessarily a fundamental signal. The bear read — that insiders are distributing at the top — is plausible but not dispositive given the retained stakes remain large. The credit market context is supportive: IG and HY bond markets are both in net-buying mode (HY net +$380M on June 23), suggesting the broader risk environment is not flashing distress.</w:t>
      </w:r>
    </w:p>
    <w:p>
      <w:pPr>
        <w:pStyle w:val="ListBullet"/>
      </w:pPr>
      <w:r>
        <w:rPr>
          <w:i/>
        </w:rPr>
        <w:t>→ Research [CONTRADICTS]: Form 4 filings show Mehrotra sold 42,561 shares (40,000 on May 1 + 2,561 on May 29) totaling ~$23.95M, not 80,000 shares at $59.9M. Weighted-average prices were $511.91–$545.39 (May 1) and $973.39–$977.96 (May 29), not $748.81. (stocktitan.net)</w:t>
      </w:r>
    </w:p>
    <w:p>
      <w:r>
        <w:t>The institutional crowding score of 1/100 (NORMAL) is a structural positive for the thesis. Only 14 of 47 tracked hedge funds hold MU, with an average position of 0.36% of fund portfolio. This is not a crowded long — the stock has room for institutional accumulation. The large buyers in the most recent 13F period (State Street +$6.4B, Citadel +$5.0B, Millennium +$774M, Renaissance +$659M) are adding aggressively, but the overall crowding score remains low, suggesting the institutional re-rating is early rather than late. The short interest of 3% of float is low — this is not a squeeze setup, but it also means there is no short-covering tailwind to fade. The mispricing is mechanical: the consensus was built on pre-FQ3 data, the FQ3 beat was massive, and the revision cycle has only just begun (5 upward EPS revisions in 30 days, with the range still spanning $28-$75 for FY2026 — a $47 range that reflects genuine model uncertainty, not consensus convergence). The catalyst is today's earnings call and the FQ4 guidance that will be issued, which should force a wholesale consensus revision upward.</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$20.28</w:t>
            </w:r>
          </w:p>
        </w:tc>
        <w:tc>
          <w:tcPr>
            <w:tcW w:type="dxa" w:w="3264"/>
            <w:tcBorders>
              <w:top w:val="single" w:sz="4" w:color="BDC3C7"/>
              <w:bottom w:val="single" w:sz="4" w:color="BDC3C7"/>
              <w:left w:val="single" w:sz="4" w:color="BDC3C7"/>
              <w:right w:val="single" w:sz="4" w:color="BDC3C7"/>
            </w:tcBorders>
          </w:tcPr>
          <w:p>
            <w:r>
              <w:t>$35,252M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$24.80</w:t>
            </w:r>
          </w:p>
        </w:tc>
        <w:tc>
          <w:tcPr>
            <w:tcW w:type="dxa" w:w="3264"/>
            <w:tcBorders>
              <w:top w:val="single" w:sz="4" w:color="BDC3C7"/>
              <w:bottom w:val="single" w:sz="4" w:color="BDC3C7"/>
              <w:left w:val="single" w:sz="4" w:color="BDC3C7"/>
              <w:right w:val="single" w:sz="4" w:color="BDC3C7"/>
            </w:tcBorders>
          </w:tcPr>
          <w:p>
            <w:r>
              <w:t>$42,496M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$61.73</w:t>
            </w:r>
          </w:p>
        </w:tc>
        <w:tc>
          <w:tcPr>
            <w:tcW w:type="dxa" w:w="3264"/>
            <w:tcBorders>
              <w:top w:val="single" w:sz="4" w:color="BDC3C7"/>
              <w:bottom w:val="single" w:sz="4" w:color="BDC3C7"/>
              <w:left w:val="single" w:sz="4" w:color="BDC3C7"/>
              <w:right w:val="single" w:sz="4" w:color="BDC3C7"/>
            </w:tcBorders>
          </w:tcPr>
          <w:p>
            <w:r>
              <w:t>$114,159M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$121.77</w:t>
            </w:r>
          </w:p>
        </w:tc>
        <w:tc>
          <w:tcPr>
            <w:tcW w:type="dxa" w:w="3264"/>
            <w:tcBorders>
              <w:top w:val="single" w:sz="4" w:color="BDC3C7"/>
              <w:bottom w:val="single" w:sz="4" w:color="BDC3C7"/>
              <w:left w:val="single" w:sz="4" w:color="BDC3C7"/>
              <w:right w:val="single" w:sz="4" w:color="BDC3C7"/>
            </w:tcBorders>
          </w:tcPr>
          <w:p>
            <w:r>
              <w:t>$196,607M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$114.2B</w:t>
            </w:r>
          </w:p>
        </w:tc>
        <w:tc>
          <w:tcPr>
            <w:tcW w:type="dxa" w:w="1632"/>
            <w:tcBorders>
              <w:top w:val="single" w:sz="4" w:color="BDC3C7"/>
              <w:bottom w:val="single" w:sz="4" w:color="BDC3C7"/>
              <w:left w:val="single" w:sz="4" w:color="BDC3C7"/>
              <w:right w:val="single" w:sz="4" w:color="BDC3C7"/>
            </w:tcBorders>
          </w:tcPr>
          <w:p>
            <w:r>
              <w:t>$126.0B</w:t>
            </w:r>
          </w:p>
        </w:tc>
        <w:tc>
          <w:tcPr>
            <w:tcW w:type="dxa" w:w="1632"/>
            <w:tcBorders>
              <w:top w:val="single" w:sz="4" w:color="BDC3C7"/>
              <w:bottom w:val="single" w:sz="4" w:color="BDC3C7"/>
              <w:left w:val="single" w:sz="4" w:color="BDC3C7"/>
              <w:right w:val="single" w:sz="4" w:color="BDC3C7"/>
            </w:tcBorders>
          </w:tcPr>
          <w:p>
            <w:r>
              <w:t>+15.00</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$61.73</w:t>
            </w:r>
          </w:p>
        </w:tc>
        <w:tc>
          <w:tcPr>
            <w:tcW w:type="dxa" w:w="1632"/>
            <w:tcBorders>
              <w:top w:val="single" w:sz="4" w:color="BDC3C7"/>
              <w:bottom w:val="single" w:sz="4" w:color="BDC3C7"/>
              <w:left w:val="single" w:sz="4" w:color="BDC3C7"/>
              <w:right w:val="single" w:sz="4" w:color="BDC3C7"/>
            </w:tcBorders>
          </w:tcPr>
          <w:p>
            <w:r>
              <w:t>$82.00</w:t>
            </w:r>
          </w:p>
        </w:tc>
        <w:tc>
          <w:tcPr>
            <w:tcW w:type="dxa" w:w="1632"/>
            <w:tcBorders>
              <w:top w:val="single" w:sz="4" w:color="BDC3C7"/>
              <w:bottom w:val="single" w:sz="4" w:color="BDC3C7"/>
              <w:left w:val="single" w:sz="4" w:color="BDC3C7"/>
              <w:right w:val="single" w:sz="4" w:color="BDC3C7"/>
            </w:tcBorders>
          </w:tcPr>
          <w:p>
            <w:r>
              <w:t>+20.27</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121.8</w:t>
            </w:r>
          </w:p>
        </w:tc>
        <w:tc>
          <w:tcPr>
            <w:tcW w:type="dxa" w:w="1632"/>
            <w:tcBorders>
              <w:top w:val="single" w:sz="4" w:color="BDC3C7"/>
              <w:bottom w:val="single" w:sz="4" w:color="BDC3C7"/>
              <w:left w:val="single" w:sz="4" w:color="BDC3C7"/>
              <w:right w:val="single" w:sz="4" w:color="BDC3C7"/>
            </w:tcBorders>
          </w:tcPr>
          <w:p>
            <w:r>
              <w:t>145.0</w:t>
            </w:r>
          </w:p>
        </w:tc>
        <w:tc>
          <w:tcPr>
            <w:tcW w:type="dxa" w:w="1632"/>
            <w:tcBorders>
              <w:top w:val="single" w:sz="4" w:color="BDC3C7"/>
              <w:bottom w:val="single" w:sz="4" w:color="BDC3C7"/>
              <w:left w:val="single" w:sz="4" w:color="BDC3C7"/>
              <w:right w:val="single" w:sz="4" w:color="BDC3C7"/>
            </w:tcBorders>
          </w:tcPr>
          <w:p>
            <w:r>
              <w:t>+23.23</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consensus_fy_revenue</w:t>
      </w:r>
    </w:p>
    <w:p>
      <w:r>
        <w:t>FQ1+FQ2+FQ3 2026 actuals sum to $79.0B; FQ4 guidance implied by management's 'even stronger outlook for Q4' and the three-quarter beat pattern (avg ~20-25% above guidance midpoint) points to FQ4 of ~$47B, yielding FY2026 total of ~$126B vs. consensus $114B. The consensus was set before the FQ3 $41.5B blowout and has not been fully revised.</w:t>
      </w:r>
    </w:p>
    <w:p>
      <w:r>
        <w:t>Street anchor: $114.2B (yfinance consensus, FY2026) → Our view: $126.0B</w:t>
      </w:r>
    </w:p>
    <w:p>
      <w:pPr>
        <w:pStyle w:val="PullQuote"/>
      </w:pPr>
      <w:r>
        <w:t>“Revenue of $41.46 billion versus $23.86 billion for the prior quarter and $9.30 billion for the same period last year”  (press_release)</w:t>
      </w:r>
    </w:p>
    <w:p>
      <w:pPr>
        <w:pStyle w:val="PullQuote"/>
      </w:pPr>
      <w:r>
        <w:t>“Micron's record fiscal Q3 financial results and even stronger outlook for Q4 reflect the strategic value of memory in the AI era”  (press_release)</w:t>
      </w:r>
    </w:p>
    <w:p>
      <w:pPr>
        <w:pStyle w:val="PullQuote"/>
      </w:pPr>
      <w:r>
        <w:t>“We expect fiscal Q3 revenue to be a record $33.5 billion, plus or minus $750 million”  (transcript)</w:t>
      </w:r>
    </w:p>
    <w:p>
      <w:r>
        <w:t>Why not consensus: Sell-side consensus of $114B was anchored before the FQ3 $41.5B print; with only 5 upward revisions in 30 days and a $28-$75 EPS range still in place, the street has not yet mechanically rebuilt the FY2026 model from the disclosed quarterly run-rate. Analysts building top-down annual models lag the quarterly actuals by 1-2 revision cycles.</w:t>
      </w:r>
    </w:p>
    <w:p>
      <w:pPr>
        <w:pStyle w:val="KillCriteria"/>
      </w:pPr>
      <w:r>
        <w:t>Falsifier: If FQ4 2026 guidance midpoint on today's call is below $42B, or if management signals demand softening in any end market that would imply FQ4 sequential decline from FQ3's $41.5B.</w:t>
      </w:r>
    </w:p>
    <w:p>
      <w:pPr>
        <w:pStyle w:val="SubHeading"/>
      </w:pPr>
      <w:r>
        <w:t>Claim 2 — consensus_fy_eps</w:t>
      </w:r>
    </w:p>
    <w:p>
      <w:r>
        <w:t>FQ3 2026 alone delivered $25.11 non-GAAP EPS; FQ1+FQ2+FQ3 non-GAAP EPS sum to approximately $4.78+$12.20+$25.11=$42.09. Even with a conservative FQ4 of $28-30 EPS (below FQ3's $25.11 given the 'even stronger' language), FY2026 non-GAAP EPS would be ~$70-72. The consensus of $61.73 is arithmetically impossible given three quarters of disclosed actuals already totaling $42.09 — the consensus has not been updated post-FQ3.</w:t>
      </w:r>
    </w:p>
    <w:p>
      <w:r>
        <w:t>Street anchor: $61.73 (yfinance consensus, FY2026) → Our view: $82.00</w:t>
      </w:r>
    </w:p>
    <w:p>
      <w:pPr>
        <w:pStyle w:val="PullQuote"/>
      </w:pPr>
      <w:r>
        <w:t>“Non-GAAP net income of $28.86 billion, or $25.11 per diluted share”  (press_release)</w:t>
      </w:r>
    </w:p>
    <w:p>
      <w:pPr>
        <w:pStyle w:val="PullQuote"/>
      </w:pPr>
      <w:r>
        <w:t>“Non-GAAP diluted earnings per share in fiscal Q2 was $12.20, with 155% sequential growth”  (transcript)</w:t>
      </w:r>
    </w:p>
    <w:p>
      <w:pPr>
        <w:pStyle w:val="PullQuote"/>
      </w:pPr>
      <w:r>
        <w:t>“Non-GAAP diluted earnings per share in fiscal Q1 was $4.78”  (transcript)</w:t>
      </w:r>
    </w:p>
    <w:p>
      <w:r>
        <w:t>Why not consensus: The consensus EPS of $61.73 for FY2026 was built before FQ3 actuals were disclosed today. Three quarters of actuals ($42.09 cumulative non-GAAP EPS) already exceed the consensus by $19.64 before FQ4 is even counted. This is a pure data-lag issue — consensus models have not yet been rebuilt from the FQ3 print. The wide range ($28.42-$75.00) confirms the street has not converged.</w:t>
      </w:r>
    </w:p>
    <w:p>
      <w:pPr>
        <w:pStyle w:val="KillCriteria"/>
      </w:pPr>
      <w:r>
        <w:t>Falsifier: If FQ4 2026 EPS guidance midpoint is below $20, implying a sharp sequential decline from FQ3's $25.11 that would bring FY2026 total below $65.</w:t>
      </w:r>
    </w:p>
    <w:p>
      <w:pPr>
        <w:pStyle w:val="SubHeading"/>
      </w:pPr>
      <w:r>
        <w:t>Claim 3 — consensus_next_fy_eps</w:t>
      </w:r>
    </w:p>
    <w:p>
      <w:r>
        <w:t>The December 9, 2026 CHIPS anniversary triggers Micron's explicit commitment to 'increase our capital return' and 'over time return 100% of excess cash to shareholders.' With $24.4B net cash, $18.3B quarterly FCF ($73B annualized), and zero buybacks in FQ3 2026, the post-December 9 capital return acceleration is a dated, quantified EPS catalyst. Deploying $20-25B in buybacks in FY2027 at ~$800-900/share would retire ~25-30M shares (~2% of diluted count), adding $3-4 to EPS mechanically. Combined with the SCA floor pricing structure guaranteeing margins 'well above our peak quarterly margins in any past cycle' (prior peak ~47%, current ~85%), the FY2027 EPS power is materially above $121.77.</w:t>
      </w:r>
    </w:p>
    <w:p>
      <w:r>
        <w:t>Street anchor: 121.8 (yfinance consensus, FY2027) → Our view: 145.0</w:t>
      </w:r>
    </w:p>
    <w:p>
      <w:pPr>
        <w:pStyle w:val="PullQuote"/>
      </w:pPr>
      <w:r>
        <w:t>“After Dec. 9, 2026, the second anniversary of the signature of our definitive CHIPS agreements, we intend to increase our capital return. Over time, we expect to return 100% of our excess cash to shareholders.”  (deck)</w:t>
      </w:r>
    </w:p>
    <w:p>
      <w:pPr>
        <w:pStyle w:val="PullQuote"/>
      </w:pPr>
      <w:r>
        <w:t>“14 of the 16 SCAs that we have signed have a cumulative revenue at minimum price per our contracts of approximately $100 billion over the remaining agreement term.”  (deck)</w:t>
      </w:r>
    </w:p>
    <w:p>
      <w:pPr>
        <w:pStyle w:val="PullQuote"/>
      </w:pPr>
      <w:r>
        <w:t>“For our SCAs with price bands, the floor price enables a very robust gross margin for Micron, well above our peak quarterly margins in any past cycle.”  (deck)</w:t>
      </w:r>
    </w:p>
    <w:p>
      <w:r>
        <w:t>Why not consensus: Sell-side models are built on historical share count trajectories and do not typically model a specific dated capital return trigger (Dec 9, 2026) that is disclosed in the earnings deck but not in a press release headline. The combination of (1) zero buybacks in FQ3 despite $18B FCF, (2) the explicit CHIPS anniversary date, and (3) the 100% excess cash return commitment requires cross-referencing the deck's capital allocation slide against the share count assumption in consensus EPS models — a synthesis step most analysts skip.</w:t>
      </w:r>
    </w:p>
    <w:p>
      <w:pPr>
        <w:pStyle w:val="KillCriteria"/>
      </w:pPr>
      <w:r>
        <w:t>Falsifier: If Micron announces on today's call that the CHIPS agreement terms prevent meaningful buybacks beyond December 9, 2026, or if FY2027 capex guidance is so elevated ($40B+) that free cash flow is insufficient to fund material buybacks alongside the dividend.</w:t>
      </w:r>
    </w:p>
    <w:p>
      <w:r>
        <w:t>Management tone shift in Q4 2025→Q1 2026: HBM competitive position and supply confidence: confidence_gain — Management moved from expressing belief/confidence about selling out HBM supply to confirming comple</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FY2027 Revenue Growth</w:t>
            </w:r>
          </w:p>
        </w:tc>
        <w:tc>
          <w:tcPr>
            <w:tcW w:type="dxa" w:w="2448"/>
            <w:tcBorders>
              <w:top w:val="single" w:sz="4" w:color="BDC3C7"/>
              <w:bottom w:val="single" w:sz="4" w:color="BDC3C7"/>
              <w:left w:val="single" w:sz="4" w:color="BDC3C7"/>
              <w:right w:val="single" w:sz="4" w:color="BDC3C7"/>
            </w:tcBorders>
          </w:tcPr>
          <w:p>
            <w:r>
              <w:rPr>
                <w:b/>
              </w:rPr>
              <w:t>+39.00%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DRAM ASP growth</w:t>
            </w:r>
          </w:p>
        </w:tc>
        <w:tc>
          <w:tcPr>
            <w:tcW w:type="dxa" w:w="2448"/>
            <w:tcBorders>
              <w:top w:val="single" w:sz="4" w:color="BDC3C7"/>
              <w:bottom w:val="single" w:sz="4" w:color="BDC3C7"/>
              <w:left w:val="single" w:sz="4" w:color="BDC3C7"/>
              <w:right w:val="single" w:sz="4" w:color="BDC3C7"/>
            </w:tcBorders>
          </w:tcPr>
          <w:p>
            <w:r>
              <w:t>+9.00%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 xml:space="preserve">In the FQ3 2026 earnings deck (page 22), DRAM ASPs increased in the 'low-60s percentage range Q/Q' in FQ3 2026. The SCA structure (deck page 10) locks ~20% of DRAM volume at floor prices 'well above prior peak margins,' </w:t>
            </w:r>
          </w:p>
        </w:tc>
      </w:tr>
      <w:tr>
        <w:tc>
          <w:tcPr>
            <w:tcW w:type="dxa" w:w="2448"/>
            <w:tcBorders>
              <w:top w:val="single" w:sz="4" w:color="BDC3C7"/>
              <w:bottom w:val="single" w:sz="4" w:color="BDC3C7"/>
              <w:left w:val="single" w:sz="4" w:color="BDC3C7"/>
              <w:right w:val="single" w:sz="4" w:color="BDC3C7"/>
            </w:tcBorders>
          </w:tcPr>
          <w:p>
            <w:r>
              <w:t xml:space="preserve">    DRAM bit shipment volume growth</w:t>
            </w:r>
          </w:p>
        </w:tc>
        <w:tc>
          <w:tcPr>
            <w:tcW w:type="dxa" w:w="2448"/>
            <w:tcBorders>
              <w:top w:val="single" w:sz="4" w:color="BDC3C7"/>
              <w:bottom w:val="single" w:sz="4" w:color="BDC3C7"/>
              <w:left w:val="single" w:sz="4" w:color="BDC3C7"/>
              <w:right w:val="single" w:sz="4" w:color="BDC3C7"/>
            </w:tcBorders>
          </w:tcPr>
          <w:p>
            <w:r>
              <w:t>+20.00%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 xml:space="preserve">Management guided on the FQ3 2026 deck (page 16) that 'industry DRAM bit shipments in calendar 2026 to grow in the low- to mid-20s percentage range.' Micron's own supply is guided to 'grow approximately in line with the </w:t>
            </w:r>
          </w:p>
        </w:tc>
      </w:tr>
      <w:tr>
        <w:tc>
          <w:tcPr>
            <w:tcW w:type="dxa" w:w="2448"/>
            <w:tcBorders>
              <w:top w:val="single" w:sz="4" w:color="BDC3C7"/>
              <w:bottom w:val="single" w:sz="4" w:color="BDC3C7"/>
              <w:left w:val="single" w:sz="4" w:color="BDC3C7"/>
              <w:right w:val="single" w:sz="4" w:color="BDC3C7"/>
            </w:tcBorders>
          </w:tcPr>
          <w:p>
            <w:r>
              <w:t xml:space="preserve">    NAND revenue contribution</w:t>
            </w:r>
          </w:p>
        </w:tc>
        <w:tc>
          <w:tcPr>
            <w:tcW w:type="dxa" w:w="2448"/>
            <w:tcBorders>
              <w:top w:val="single" w:sz="4" w:color="BDC3C7"/>
              <w:bottom w:val="single" w:sz="4" w:color="BDC3C7"/>
              <w:left w:val="single" w:sz="4" w:color="BDC3C7"/>
              <w:right w:val="single" w:sz="4" w:color="BDC3C7"/>
            </w:tcBorders>
          </w:tcPr>
          <w:p>
            <w:r>
              <w:t>+10.00%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NAND ASPs increased in the 'mid-80s percentage range Q/Q' in FQ3 2026 (deck page 22), the largest ASP jump of any product category. Data center SSD revenue 'exceeded $5 billion, more than doubling sequentially' (deck pag</w:t>
            </w:r>
          </w:p>
        </w:tc>
      </w:tr>
    </w:tbl>
    <w:p>
      <w:pPr>
        <w:pStyle w:val="SubHeading"/>
      </w:pPr>
      <w:r>
        <w:t>Bear revisions:</w:t>
      </w:r>
    </w:p>
    <w:p>
      <w:pPr>
        <w:pStyle w:val="ListBullet"/>
      </w:pPr>
      <w:r>
        <w:t>FY2027 Revenue Growth.DRAM ASP growth: 15.0 → -5.0 — If Chinese DRAM supply (CXMT) accelerates to 15-20% of industry bit supply by calendar 2027 (vs. near-zero today), DRAM ASPs could decline rather than grow in FY2027. The external research note (Damnang, June 2026) notes new fab capacity 'won't ship until 2027-2028' for established players, but does not address CXMT's timeline. Management's silence on China supply competition across three consecutive earnings calls is a risk flag.</w:t>
      </w:r>
    </w:p>
    <w:p>
      <w:pPr>
        <w:pStyle w:val="SubHeading"/>
      </w:pPr>
      <w:r>
        <w:t>Comp decomposition check:</w:t>
      </w:r>
    </w:p>
    <w:p>
      <w:pPr>
        <w:pStyle w:val="ListBullet"/>
      </w:pPr>
      <w:r>
        <w:t>Schema mismatch: peer comps fit 'semiconductors'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SectionHeading"/>
      </w:pPr>
      <w:r>
        <w:t>3. Consensus Gap &amp; Valuation</w:t>
      </w:r>
    </w:p>
    <w:p>
      <w:r>
        <w:t>Our EPS: $82.00  =  baseline $61.73  +  Σ claim impacts $+20.27 (32.8% above consensus $61.73)</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$61.73</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$61.73 → $82.00 (Δ $20.27)</w:t>
            </w:r>
          </w:p>
        </w:tc>
        <w:tc>
          <w:tcPr>
            <w:tcW w:type="dxa" w:w="2448"/>
            <w:tcBorders>
              <w:top w:val="single" w:sz="4" w:color="BDC3C7"/>
              <w:bottom w:val="single" w:sz="4" w:color="BDC3C7"/>
              <w:left w:val="single" w:sz="4" w:color="BDC3C7"/>
              <w:right w:val="single" w:sz="4" w:color="BDC3C7"/>
            </w:tcBorders>
          </w:tcPr>
          <w:p>
            <w:r>
              <w:t>Direct EPS delta: $+20.27/share</w:t>
            </w:r>
          </w:p>
        </w:tc>
        <w:tc>
          <w:tcPr>
            <w:tcW w:type="dxa" w:w="2448"/>
            <w:tcBorders>
              <w:top w:val="single" w:sz="4" w:color="BDC3C7"/>
              <w:bottom w:val="single" w:sz="4" w:color="BDC3C7"/>
              <w:left w:val="single" w:sz="4" w:color="BDC3C7"/>
              <w:right w:val="single" w:sz="4" w:color="BDC3C7"/>
            </w:tcBorders>
          </w:tcPr>
          <w:p>
            <w:r>
              <w:t>+20.27</w:t>
            </w:r>
          </w:p>
        </w:tc>
      </w:tr>
      <w:tr>
        <w:tc>
          <w:tcPr>
            <w:tcW w:type="dxa" w:w="2448"/>
            <w:tcBorders>
              <w:top w:val="single" w:sz="4" w:color="BDC3C7"/>
              <w:bottom w:val="single" w:sz="4" w:color="BDC3C7"/>
              <w:left w:val="single" w:sz="4" w:color="BDC3C7"/>
              <w:right w:val="single" w:sz="4" w:color="BDC3C7"/>
            </w:tcBorders>
          </w:tcPr>
          <w:p>
            <w:r>
              <w:t>Revenue</w:t>
            </w:r>
          </w:p>
        </w:tc>
        <w:tc>
          <w:tcPr>
            <w:tcW w:type="dxa" w:w="2448"/>
            <w:tcBorders>
              <w:top w:val="single" w:sz="4" w:color="BDC3C7"/>
              <w:bottom w:val="single" w:sz="4" w:color="BDC3C7"/>
              <w:left w:val="single" w:sz="4" w:color="BDC3C7"/>
              <w:right w:val="single" w:sz="4" w:color="BDC3C7"/>
            </w:tcBorders>
          </w:tcPr>
          <w:p>
            <w:r>
              <w:t>Cons FY Rev</w:t>
              <w:br/>
              <w:t>$114.2B → $126.0B (Δ $11.8B)</w:t>
            </w:r>
          </w:p>
        </w:tc>
        <w:tc>
          <w:tcPr>
            <w:tcW w:type="dxa" w:w="2448"/>
            <w:tcBorders>
              <w:top w:val="single" w:sz="4" w:color="BDC3C7"/>
              <w:bottom w:val="single" w:sz="4" w:color="BDC3C7"/>
              <w:left w:val="single" w:sz="4" w:color="BDC3C7"/>
              <w:right w:val="single" w:sz="4" w:color="BDC3C7"/>
            </w:tcBorders>
          </w:tcPr>
          <w:p>
            <w:r>
              <w:t>(supporting view, not summed: same disagreement as 'consensus_fy_eps' through different metric lens) Revenue Δ $+11,841M</w:t>
            </w:r>
          </w:p>
        </w:tc>
        <w:tc>
          <w:tcPr>
            <w:tcW w:type="dxa" w:w="2448"/>
            <w:tcBorders>
              <w:top w:val="single" w:sz="4" w:color="BDC3C7"/>
              <w:bottom w:val="single" w:sz="4" w:color="BDC3C7"/>
              <w:left w:val="single" w:sz="4" w:color="BDC3C7"/>
              <w:right w:val="single" w:sz="4" w:color="BDC3C7"/>
            </w:tcBorders>
          </w:tcPr>
          <w:p>
            <w:r>
              <w:t>+0.00  ⚠ Claude said +15.00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+20.27</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$82.00</w:t>
            </w:r>
          </w:p>
        </w:tc>
      </w:tr>
    </w:tbl>
    <w:p>
      <w:pPr>
        <w:pStyle w:val="PullQuote"/>
      </w:pPr>
      <w:r>
        <w:t xml:space="preserve">  ⚠ Mechanically-overlapping claim deduplicated: 'consensus_fy_revenue' overlaps with selected 'consensus_fy_eps'; only the more comprehensive claim is summed into our_eps.</w:t>
      </w:r>
    </w:p>
    <w:p>
      <w:pPr>
        <w:pStyle w:val="PullQuote"/>
      </w:pPr>
      <w:r>
        <w:t xml:space="preserve">  ⚠ 1 claim(s) target a different fiscal period than the current_fy baseline and weren't summed: consensus_next_fy_eps</w:t>
      </w:r>
    </w:p>
    <w:p>
      <w:r>
        <w:t>Our estimate is $20.27 (32.8%) above consensus $61.73. No single driver within plausible bounds can close the gap to consensus when other drivers are held at our values; the EPS variant is diffuse (top magnitude: FY2027 Revenue Growth.DRAM ASP growth). Variant appears NOT fully priced in based on available market data. Next catalyst: Next quarterly earnings report (2026-06-24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FY2027 Revenue Growth.DRAM ASP growth</w:t>
            </w:r>
          </w:p>
        </w:tc>
        <w:tc>
          <w:tcPr>
            <w:tcW w:type="dxa" w:w="1958"/>
            <w:tcBorders>
              <w:top w:val="single" w:sz="4" w:color="BDC3C7"/>
              <w:bottom w:val="single" w:sz="4" w:color="BDC3C7"/>
              <w:left w:val="single" w:sz="4" w:color="BDC3C7"/>
              <w:right w:val="single" w:sz="4" w:color="BDC3C7"/>
            </w:tcBorders>
          </w:tcPr>
          <w:p>
            <w:r>
              <w:t>+9.00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FY2027 Revenue Growth.DRAM bit shipment volume growth</w:t>
            </w:r>
          </w:p>
        </w:tc>
        <w:tc>
          <w:tcPr>
            <w:tcW w:type="dxa" w:w="1958"/>
            <w:tcBorders>
              <w:top w:val="single" w:sz="4" w:color="BDC3C7"/>
              <w:bottom w:val="single" w:sz="4" w:color="BDC3C7"/>
              <w:left w:val="single" w:sz="4" w:color="BDC3C7"/>
              <w:right w:val="single" w:sz="4" w:color="BDC3C7"/>
            </w:tcBorders>
          </w:tcPr>
          <w:p>
            <w:r>
              <w:t>+20.00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FY2027 Revenue Growth.NAND revenue contribution</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(+32.8%) exceeds implied move (9.6%)</w:t>
      </w:r>
    </w:p>
    <w:p>
      <w:r>
        <w:t>Edge verdict: ACTIONABLE_EDGE (score 0.400).</w:t>
      </w:r>
    </w:p>
    <w:p>
      <w:pPr>
        <w:pStyle w:val="SectionHeading"/>
      </w:pPr>
      <w:r>
        <w:t>4. Catalysts</w:t>
      </w:r>
    </w:p>
    <w:p>
      <w:pPr>
        <w:pStyle w:val="ListBullet"/>
      </w:pPr>
      <w:r>
        <w:t>Next quarterly earnings report (2026-06-24 (1 days)) — resolves revenue + margins + guidance; confirms or challenges</w:t>
      </w:r>
    </w:p>
    <w:p>
      <w:pPr>
        <w:pStyle w:val="ListBullet"/>
      </w:pPr>
      <w:r>
        <w:t>Resolution: SCA floor pricing provides a structural margin floor 'well above prior peak marg (Multi-year thesis -- patience required) — resolves Gross Margin; confirms or challenges</w:t>
      </w:r>
    </w:p>
    <w:p>
      <w:pPr>
        <w:pStyle w:val="ListBullet"/>
      </w:pPr>
      <w:r>
        <w:t>Resolution: Management's 'even stronger outlook for Q4' implies FQ4 2026 revenue above FQ3's (Multi-year thesis -- patience required) — resolves FY2027 Revenue Growth; confirms or challenges</w:t>
      </w:r>
    </w:p>
    <w:p>
      <w:pPr>
        <w:pStyle w:val="ListBullet"/>
      </w:pPr>
      <w:r>
        <w:t>Resolution: Insider selling of $118M across 8 executives is routine diversification at cycle (Multi-year thesis -- patience required) — resolves FY2027 Revenue Growth; confirms or challenges</w:t>
      </w:r>
    </w:p>
    <w:p>
      <w:pPr>
        <w:pStyle w:val="ListBullet"/>
      </w:pPr>
      <w:r>
        <w:t>FQ4 2026 specific revenue and EPS guidance (to be disclosed on today's earnings call) — this is the  (Unknown timing) — resolves multiple; resolves uncertainty</w:t>
      </w:r>
    </w:p>
    <w:p>
      <w:pPr>
        <w:pStyle w:val="ListBullet"/>
      </w:pPr>
      <w:r>
        <w:t>HBM-specific revenue and margin breakout — management has refused to disclose this across three cons (Unknown timing) — resolves multiple; resolves uncertainty</w:t>
      </w:r>
    </w:p>
    <w:p>
      <w:pPr>
        <w:pStyle w:val="SectionHeading"/>
      </w:pPr>
      <w:r>
        <w:t>5. Risks, Blind Spots &amp; Kill Criteria</w:t>
      </w:r>
    </w:p>
    <w:p>
      <w:pPr>
        <w:pStyle w:val="SubHeading"/>
      </w:pPr>
      <w:r>
        <w:t>Top risks:</w:t>
      </w:r>
    </w:p>
    <w:p>
      <w:pPr>
        <w:pStyle w:val="ListBullet"/>
      </w:pPr>
      <w:r>
        <w:t>SCA floor pricing provides a structural margin floor 'well above prior peak margins' that de-risks the earnings trajectory — counter: The SCA structure covers only ~20% of DRAM volume and ~33% of NAND volume (deck page 8). The remaining ~67-80% of volume is priced at market. If Chinese DRAM/NAND supply (CXMT, YMTC) accelerates faster than the industry expects, the uncontracted majority of Micron's volume faces pricing pressure that the SCA floor cannot offset. Management has not addressed Chinese supply competition in any of the three transcripts analyzed — a notable silence flagged in the social topic analysis. [moderate]</w:t>
      </w:r>
    </w:p>
    <w:p>
      <w:pPr>
        <w:pStyle w:val="ListBullet2"/>
      </w:pPr>
      <w:r>
        <w:rPr>
          <w:i/>
        </w:rPr>
        <w:t>→ Research: Search confirms CXMT Shanghai fab equipment installation H2 2026, volume production 2027. Current capacity 720k wafers/quarter (end 2025); projected 350 kwspm by end 2026, 420 kwspm by 2027. Quantified timeline and capacity targets now available for SCA hedge assessment. (semianalysis.com)</w:t>
      </w:r>
    </w:p>
    <w:p>
      <w:pPr>
        <w:pStyle w:val="ListBullet"/>
      </w:pPr>
      <w:r>
        <w:t>Management's 'even stronger outlook for Q4' implies FQ4 2026 revenue above FQ3's $41.5B — counter: The Q2 2026 call FQ3 guidance of $33.5B was set conservatively and beaten by $8B. However, the FQ3 beat was partly driven by NAND ASPs rising 'mid-80s percentage range Q/Q' — an extraordinary single-quarter move that is unlikely to repeat at the same magnitude. If NAND ASP growth normalizes in FQ4, the sequential revenue step-up from FQ3 to FQ4 may be smaller than the FQ2-to-FQ3 step-up of +74%. [moderate]</w:t>
      </w:r>
    </w:p>
    <w:p>
      <w:pPr>
        <w:pStyle w:val="ListBullet"/>
      </w:pPr>
      <w:r>
        <w:t>The December 9, 2026 CHIPS anniversary triggers a massive capital return acceleration that adds $5-10 to FY2027 EPS — counter: FY2027 capex is guided to be 'above fiscal Q4 levels' (FQ4 ~$10B), implying quarterly capex of $10B+ and annual capex of $40B+. If FY2027 capex is $40-45B and FCF is ~$70-80B annualized, the net free cash available for buybacks after capex is $30-40B — still substantial, but the capex ramp competes directly with the capital return commitment. Management has not quantified the post-CHIPS buyback authorization size. [moderate]</w:t>
      </w:r>
    </w:p>
    <w:p>
      <w:pPr>
        <w:pStyle w:val="ListBullet2"/>
      </w:pPr>
      <w:r>
        <w:rPr>
          <w:i/>
        </w:rPr>
        <w:t>→ Research [UPDATES]: Micron disclosed FY2027 capex will increase over $10B from FY2026 (&gt;$25B), implying FY2027 capex exceeds $35B, not the $40-45B assumed. However, CEO stated capex will 'step up meaningfully' with higher equipment spend, leaving exact FY2027 total unspecified and potentially higher than disclosed floor. (micron.com)</w:t>
      </w:r>
    </w:p>
    <w:p>
      <w:pPr>
        <w:pStyle w:val="KillCriteria"/>
      </w:pPr>
      <w:r>
        <w:t>What would change our mind: Unable to close gap: FQ4 2026 specific revenue and EPS guidance (to be disclosed on today's earnings call) — this is the single most important missing data point for the FY2026 consensus revision thesis</w:t>
      </w:r>
    </w:p>
    <w:p>
      <w:pPr>
        <w:pStyle w:val="SectionHeading"/>
      </w:pPr>
      <w:r>
        <w:t>Appendix</w:t>
      </w:r>
    </w:p>
    <w:p>
      <w:pPr>
        <w:pStyle w:val="SubHeading"/>
      </w:pPr>
      <w:r>
        <w:t>Business context:</w:t>
      </w:r>
    </w:p>
    <w:p>
      <w:r>
        <w:t>Micron Technology designs and manufactures DRAM, NAND, and HBM memory and storage products sold to data center hyperscalers, mobile OEMs, PC makers, automotive, and industrial customers. Revenue is driven almost entirely by the intersection of bit shipment volumes and average selling prices, both of which are highly cyclical and currently in a historic upcycle fueled by AI-driven HBM and data center DRAM demand.</w:t>
      </w:r>
    </w:p>
    <w:p>
      <w:pPr>
        <w:pStyle w:val="SubHeading"/>
      </w:pPr>
      <w:r>
        <w:t>Evidence gaps (research TODO):</w:t>
      </w:r>
    </w:p>
    <w:p>
      <w:pPr>
        <w:pStyle w:val="ListBullet"/>
      </w:pPr>
      <w:r>
        <w:t>FQ4 2026 specific revenue and EPS guidance (to be disclosed on today's earnings call) — this is the single most important missing data point for the FY2026 consensus revision thesis</w:t>
      </w:r>
    </w:p>
    <w:p>
      <w:pPr>
        <w:pStyle w:val="ListBullet"/>
      </w:pPr>
      <w:r>
        <w:t>HBM-specific revenue and margin breakout — management has refused to disclose this across three consecutive quarters; HBM is the highest-margin product and its share of DRAM revenue is the key unknown for margin modeling</w:t>
      </w:r>
    </w:p>
    <w:p>
      <w:pPr>
        <w:pStyle w:val="ListBullet"/>
      </w:pPr>
      <w:r>
        <w:t>Chinese DRAM/NAND supply capacity timeline (CXMT, YMTC) — management has not addressed this risk in any transcript; it is the primary bear case for the pricing durability thesis</w:t>
      </w:r>
    </w:p>
    <w:p>
      <w:pPr>
        <w:pStyle w:val="ListBullet"/>
      </w:pPr>
      <w:r>
        <w:t>Post-CHIPS anniversary buyback authorization size and pace — management committed to 'increase capital return' after December 9, 2026 but has not disclosed the authorization amount or target buyback pace</w:t>
      </w:r>
    </w:p>
    <w:p>
      <w:pPr>
        <w:pStyle w:val="ListBullet"/>
      </w:pPr>
      <w:r>
        <w:t>SCA counterparty identities and concentration — all 16 SCA customers are anonymous; if 3-4 hyperscalers represent the majority of the $100B contracted revenue, customer concentration risk is unquantifiable</w:t>
      </w:r>
    </w:p>
    <w:p>
      <w:pPr>
        <w:pStyle w:val="ListBullet"/>
      </w:pPr>
      <w:r>
        <w:t>Non-GAAP to GAAP EPS reconciliation for FQ4 2026 guidance — the gap between GAAP ($24.67) and non-GAAP ($25.11) EPS in FQ3 2026 was only $0.44, but stock comp and restructuring charges could widen this in FQ4 as capex ramps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