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RDDT — RDDT</w:t>
      </w:r>
    </w:p>
    <w:p>
      <w:pPr>
        <w:pStyle w:val="SmallMeta"/>
      </w:pPr>
      <w:r>
        <w:t>As of 2026-04-28  |  Schema: general  |  Data: polygon+alpha_vantage (FY2025)</w:t>
      </w:r>
    </w:p>
    <w:p>
      <w:pPr>
        <w:pStyle w:val="SubHeading"/>
      </w:pPr>
      <w:r>
        <w:rPr>
          <w:color w:val="8C1D40"/>
        </w:rPr>
        <w:t>Direction: LONG | Current: $149.83</w:t>
      </w:r>
    </w:p>
    <w:p>
      <w:pPr>
        <w:pStyle w:val="SubHeading"/>
      </w:pPr>
      <w:r>
        <w:t>Summary</w:t>
      </w:r>
    </w:p>
    <w:p>
      <w:pPr>
        <w:pStyle w:val="ListBullet"/>
      </w:pPr>
      <w:r>
        <w:t>Thesis: No clear edge identified — estimate is close to consensus range.</w:t>
      </w:r>
    </w:p>
    <w:p>
      <w:pPr>
        <w:pStyle w:val="ListBullet"/>
      </w:pPr>
      <w:r>
        <w:t>Next catalyst: Next quarterly earnings report (2026-04-30 (2 days))</w:t>
      </w:r>
    </w:p>
    <w:p>
      <w:pPr>
        <w:pStyle w:val="ListBullet"/>
      </w:pPr>
      <w:r>
        <w:t>Top risk: Advertising growth can continue at 40%+ rates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EVIDENCE AUDIT: evidence audit: 4 finding(s) — cited→inferred: 4</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EXTRAORDINARY VARIANT: our EPS $11.19 is 171% above consensus $4.13. Claims this extreme require specific named catastrophic (or windfall) mechanisms — review the brief + adversarial output and confirm the thesis supports this magnitude, or treat the number as mis-calibrated.</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$0.56</w:t>
            </w:r>
          </w:p>
        </w:tc>
        <w:tc>
          <w:tcPr>
            <w:tcW w:type="dxa" w:w="1399"/>
            <w:tcBorders>
              <w:top w:val="single" w:sz="4" w:color="BDC3C7"/>
              <w:bottom w:val="single" w:sz="4" w:color="BDC3C7"/>
              <w:left w:val="single" w:sz="4" w:color="BDC3C7"/>
              <w:right w:val="single" w:sz="4" w:color="BDC3C7"/>
            </w:tcBorders>
          </w:tcPr>
          <w:p>
            <w:r>
              <w:t>$0.35 – $0.80</w:t>
            </w:r>
          </w:p>
        </w:tc>
        <w:tc>
          <w:tcPr>
            <w:tcW w:type="dxa" w:w="1399"/>
            <w:tcBorders>
              <w:top w:val="single" w:sz="4" w:color="BDC3C7"/>
              <w:bottom w:val="single" w:sz="4" w:color="BDC3C7"/>
              <w:left w:val="single" w:sz="4" w:color="BDC3C7"/>
              <w:right w:val="single" w:sz="4" w:color="BDC3C7"/>
            </w:tcBorders>
          </w:tcPr>
          <w:p>
            <w:r>
              <w:t>22</w:t>
            </w:r>
          </w:p>
        </w:tc>
        <w:tc>
          <w:tcPr>
            <w:tcW w:type="dxa" w:w="1399"/>
            <w:tcBorders>
              <w:top w:val="single" w:sz="4" w:color="BDC3C7"/>
              <w:bottom w:val="single" w:sz="4" w:color="BDC3C7"/>
              <w:left w:val="single" w:sz="4" w:color="BDC3C7"/>
              <w:right w:val="single" w:sz="4" w:color="BDC3C7"/>
            </w:tcBorders>
          </w:tcPr>
          <w:p>
            <w:r>
              <w:t>+333.8%</w:t>
            </w:r>
          </w:p>
        </w:tc>
        <w:tc>
          <w:tcPr>
            <w:tcW w:type="dxa" w:w="1399"/>
            <w:tcBorders>
              <w:top w:val="single" w:sz="4" w:color="BDC3C7"/>
              <w:bottom w:val="single" w:sz="4" w:color="BDC3C7"/>
              <w:left w:val="single" w:sz="4" w:color="BDC3C7"/>
              <w:right w:val="single" w:sz="4" w:color="BDC3C7"/>
            </w:tcBorders>
          </w:tcPr>
          <w:p>
            <w:r>
              <w:t>≈ -0.003</w:t>
            </w:r>
          </w:p>
        </w:tc>
        <w:tc>
          <w:tcPr>
            <w:tcW w:type="dxa" w:w="1399"/>
            <w:tcBorders>
              <w:top w:val="single" w:sz="4" w:color="BDC3C7"/>
              <w:bottom w:val="single" w:sz="4" w:color="BDC3C7"/>
              <w:left w:val="single" w:sz="4" w:color="BDC3C7"/>
              <w:right w:val="single" w:sz="4" w:color="BDC3C7"/>
            </w:tcBorders>
          </w:tcPr>
          <w:p>
            <w:r>
              <w:t>↑1 / ↓1</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$0.83</w:t>
            </w:r>
          </w:p>
        </w:tc>
        <w:tc>
          <w:tcPr>
            <w:tcW w:type="dxa" w:w="1399"/>
            <w:tcBorders>
              <w:top w:val="single" w:sz="4" w:color="BDC3C7"/>
              <w:bottom w:val="single" w:sz="4" w:color="BDC3C7"/>
              <w:left w:val="single" w:sz="4" w:color="BDC3C7"/>
              <w:right w:val="single" w:sz="4" w:color="BDC3C7"/>
            </w:tcBorders>
          </w:tcPr>
          <w:p>
            <w:r>
              <w:t>$0.64 – $1.06</w:t>
            </w:r>
          </w:p>
        </w:tc>
        <w:tc>
          <w:tcPr>
            <w:tcW w:type="dxa" w:w="1399"/>
            <w:tcBorders>
              <w:top w:val="single" w:sz="4" w:color="BDC3C7"/>
              <w:bottom w:val="single" w:sz="4" w:color="BDC3C7"/>
              <w:left w:val="single" w:sz="4" w:color="BDC3C7"/>
              <w:right w:val="single" w:sz="4" w:color="BDC3C7"/>
            </w:tcBorders>
          </w:tcPr>
          <w:p>
            <w:r>
              <w:t>22</w:t>
            </w:r>
          </w:p>
        </w:tc>
        <w:tc>
          <w:tcPr>
            <w:tcW w:type="dxa" w:w="1399"/>
            <w:tcBorders>
              <w:top w:val="single" w:sz="4" w:color="BDC3C7"/>
              <w:bottom w:val="single" w:sz="4" w:color="BDC3C7"/>
              <w:left w:val="single" w:sz="4" w:color="BDC3C7"/>
              <w:right w:val="single" w:sz="4" w:color="BDC3C7"/>
            </w:tcBorders>
          </w:tcPr>
          <w:p>
            <w:r>
              <w:t>+83.8%</w:t>
            </w:r>
          </w:p>
        </w:tc>
        <w:tc>
          <w:tcPr>
            <w:tcW w:type="dxa" w:w="1399"/>
            <w:tcBorders>
              <w:top w:val="single" w:sz="4" w:color="BDC3C7"/>
              <w:bottom w:val="single" w:sz="4" w:color="BDC3C7"/>
              <w:left w:val="single" w:sz="4" w:color="BDC3C7"/>
              <w:right w:val="single" w:sz="4" w:color="BDC3C7"/>
            </w:tcBorders>
          </w:tcPr>
          <w:p>
            <w:r>
              <w:t>↓ -0.006</w:t>
            </w:r>
          </w:p>
        </w:tc>
        <w:tc>
          <w:tcPr>
            <w:tcW w:type="dxa" w:w="1399"/>
            <w:tcBorders>
              <w:top w:val="single" w:sz="4" w:color="BDC3C7"/>
              <w:bottom w:val="single" w:sz="4" w:color="BDC3C7"/>
              <w:left w:val="single" w:sz="4" w:color="BDC3C7"/>
              <w:right w:val="single" w:sz="4" w:color="BDC3C7"/>
            </w:tcBorders>
          </w:tcPr>
          <w:p>
            <w:r>
              <w:t>↑1 / ↓2</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$4.13</w:t>
            </w:r>
          </w:p>
        </w:tc>
        <w:tc>
          <w:tcPr>
            <w:tcW w:type="dxa" w:w="1399"/>
            <w:tcBorders>
              <w:top w:val="single" w:sz="4" w:color="BDC3C7"/>
              <w:bottom w:val="single" w:sz="4" w:color="BDC3C7"/>
              <w:left w:val="single" w:sz="4" w:color="BDC3C7"/>
              <w:right w:val="single" w:sz="4" w:color="BDC3C7"/>
            </w:tcBorders>
          </w:tcPr>
          <w:p>
            <w:r>
              <w:t>$3.38 – $4.94</w:t>
            </w:r>
          </w:p>
        </w:tc>
        <w:tc>
          <w:tcPr>
            <w:tcW w:type="dxa" w:w="1399"/>
            <w:tcBorders>
              <w:top w:val="single" w:sz="4" w:color="BDC3C7"/>
              <w:bottom w:val="single" w:sz="4" w:color="BDC3C7"/>
              <w:left w:val="single" w:sz="4" w:color="BDC3C7"/>
              <w:right w:val="single" w:sz="4" w:color="BDC3C7"/>
            </w:tcBorders>
          </w:tcPr>
          <w:p>
            <w:r>
              <w:t>27</w:t>
            </w:r>
          </w:p>
        </w:tc>
        <w:tc>
          <w:tcPr>
            <w:tcW w:type="dxa" w:w="1399"/>
            <w:tcBorders>
              <w:top w:val="single" w:sz="4" w:color="BDC3C7"/>
              <w:bottom w:val="single" w:sz="4" w:color="BDC3C7"/>
              <w:left w:val="single" w:sz="4" w:color="BDC3C7"/>
              <w:right w:val="single" w:sz="4" w:color="BDC3C7"/>
            </w:tcBorders>
          </w:tcPr>
          <w:p>
            <w:r>
              <w:t>+57.8%</w:t>
            </w:r>
          </w:p>
        </w:tc>
        <w:tc>
          <w:tcPr>
            <w:tcW w:type="dxa" w:w="1399"/>
            <w:tcBorders>
              <w:top w:val="single" w:sz="4" w:color="BDC3C7"/>
              <w:bottom w:val="single" w:sz="4" w:color="BDC3C7"/>
              <w:left w:val="single" w:sz="4" w:color="BDC3C7"/>
              <w:right w:val="single" w:sz="4" w:color="BDC3C7"/>
            </w:tcBorders>
          </w:tcPr>
          <w:p>
            <w:r>
              <w:t>↑ +0.017</w:t>
            </w:r>
          </w:p>
        </w:tc>
        <w:tc>
          <w:tcPr>
            <w:tcW w:type="dxa" w:w="1399"/>
            <w:tcBorders>
              <w:top w:val="single" w:sz="4" w:color="BDC3C7"/>
              <w:bottom w:val="single" w:sz="4" w:color="BDC3C7"/>
              <w:left w:val="single" w:sz="4" w:color="BDC3C7"/>
              <w:right w:val="single" w:sz="4" w:color="BDC3C7"/>
            </w:tcBorders>
          </w:tcPr>
          <w:p>
            <w:r>
              <w:t>↑2 / ↓1</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$5.77</w:t>
            </w:r>
          </w:p>
        </w:tc>
        <w:tc>
          <w:tcPr>
            <w:tcW w:type="dxa" w:w="1399"/>
            <w:tcBorders>
              <w:top w:val="single" w:sz="4" w:color="BDC3C7"/>
              <w:bottom w:val="single" w:sz="4" w:color="BDC3C7"/>
              <w:left w:val="single" w:sz="4" w:color="BDC3C7"/>
              <w:right w:val="single" w:sz="4" w:color="BDC3C7"/>
            </w:tcBorders>
          </w:tcPr>
          <w:p>
            <w:r>
              <w:t>$3.45 – $7.00</w:t>
            </w:r>
          </w:p>
        </w:tc>
        <w:tc>
          <w:tcPr>
            <w:tcW w:type="dxa" w:w="1399"/>
            <w:tcBorders>
              <w:top w:val="single" w:sz="4" w:color="BDC3C7"/>
              <w:bottom w:val="single" w:sz="4" w:color="BDC3C7"/>
              <w:left w:val="single" w:sz="4" w:color="BDC3C7"/>
              <w:right w:val="single" w:sz="4" w:color="BDC3C7"/>
            </w:tcBorders>
          </w:tcPr>
          <w:p>
            <w:r>
              <w:t>27</w:t>
            </w:r>
          </w:p>
        </w:tc>
        <w:tc>
          <w:tcPr>
            <w:tcW w:type="dxa" w:w="1399"/>
            <w:tcBorders>
              <w:top w:val="single" w:sz="4" w:color="BDC3C7"/>
              <w:bottom w:val="single" w:sz="4" w:color="BDC3C7"/>
              <w:left w:val="single" w:sz="4" w:color="BDC3C7"/>
              <w:right w:val="single" w:sz="4" w:color="BDC3C7"/>
            </w:tcBorders>
          </w:tcPr>
          <w:p>
            <w:r>
              <w:t>+39.7%</w:t>
            </w:r>
          </w:p>
        </w:tc>
        <w:tc>
          <w:tcPr>
            <w:tcW w:type="dxa" w:w="1399"/>
            <w:tcBorders>
              <w:top w:val="single" w:sz="4" w:color="BDC3C7"/>
              <w:bottom w:val="single" w:sz="4" w:color="BDC3C7"/>
              <w:left w:val="single" w:sz="4" w:color="BDC3C7"/>
              <w:right w:val="single" w:sz="4" w:color="BDC3C7"/>
            </w:tcBorders>
          </w:tcPr>
          <w:p>
            <w:r>
              <w:t>↑ +0.027</w:t>
            </w:r>
          </w:p>
        </w:tc>
        <w:tc>
          <w:tcPr>
            <w:tcW w:type="dxa" w:w="1399"/>
            <w:tcBorders>
              <w:top w:val="single" w:sz="4" w:color="BDC3C7"/>
              <w:bottom w:val="single" w:sz="4" w:color="BDC3C7"/>
              <w:left w:val="single" w:sz="4" w:color="BDC3C7"/>
              <w:right w:val="single" w:sz="4" w:color="BDC3C7"/>
            </w:tcBorders>
          </w:tcPr>
          <w:p>
            <w:r>
              <w:t>↑1 / ↓3</w:t>
            </w:r>
          </w:p>
        </w:tc>
      </w:tr>
    </w:tbl>
    <w:p>
      <w:r>
        <w:t>Revenue consensus: Q $0.61B (+54.9%)  |  Q+1 $0.71B (+42.8%)  |  FY $3.14B (+42.6%)  |  FY+1 $4.11B (+30.7%)</w:t>
      </w:r>
    </w:p>
    <w:p>
      <w:r>
        <w:t>Price targets: Mean $223.82  |  Median $240.00  |  Range $125.00–$300.00  |  Current $149.32 (+49.9% to mean)</w:t>
      </w:r>
    </w:p>
    <w:p>
      <w:r>
        <w:t>Analyst ratings (n=31): Strong Buy 5 · Buy 15 · Hold 10 · Sell 1 · Strong Sell 0  ·  65% bullish</w:t>
      </w:r>
    </w:p>
    <w:p>
      <w:r>
        <w:t>Next earnings: 2026-04-30 (2d out)  ·  EPS $1.11 ($1.02–$1.15)  ·  Rev $0.61B</w:t>
      </w:r>
    </w:p>
    <w:p>
      <w:pPr>
        <w:pStyle w:val="SectionHeading"/>
      </w:pPr>
      <w:r>
        <w:t>1. Edge</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$0.56</w:t>
            </w:r>
          </w:p>
        </w:tc>
        <w:tc>
          <w:tcPr>
            <w:tcW w:type="dxa" w:w="3264"/>
            <w:tcBorders>
              <w:top w:val="single" w:sz="4" w:color="BDC3C7"/>
              <w:bottom w:val="single" w:sz="4" w:color="BDC3C7"/>
              <w:left w:val="single" w:sz="4" w:color="BDC3C7"/>
              <w:right w:val="single" w:sz="4" w:color="BDC3C7"/>
            </w:tcBorders>
          </w:tcPr>
          <w:p>
            <w:r>
              <w:t>$608M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$0.83</w:t>
            </w:r>
          </w:p>
        </w:tc>
        <w:tc>
          <w:tcPr>
            <w:tcW w:type="dxa" w:w="3264"/>
            <w:tcBorders>
              <w:top w:val="single" w:sz="4" w:color="BDC3C7"/>
              <w:bottom w:val="single" w:sz="4" w:color="BDC3C7"/>
              <w:left w:val="single" w:sz="4" w:color="BDC3C7"/>
              <w:right w:val="single" w:sz="4" w:color="BDC3C7"/>
            </w:tcBorders>
          </w:tcPr>
          <w:p>
            <w:r>
              <w:t>$714M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$4.13</w:t>
            </w:r>
          </w:p>
        </w:tc>
        <w:tc>
          <w:tcPr>
            <w:tcW w:type="dxa" w:w="3264"/>
            <w:tcBorders>
              <w:top w:val="single" w:sz="4" w:color="BDC3C7"/>
              <w:bottom w:val="single" w:sz="4" w:color="BDC3C7"/>
              <w:left w:val="single" w:sz="4" w:color="BDC3C7"/>
              <w:right w:val="single" w:sz="4" w:color="BDC3C7"/>
            </w:tcBorders>
          </w:tcPr>
          <w:p>
            <w:r>
              <w:t>$3,141M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$5.77</w:t>
            </w:r>
          </w:p>
        </w:tc>
        <w:tc>
          <w:tcPr>
            <w:tcW w:type="dxa" w:w="3264"/>
            <w:tcBorders>
              <w:top w:val="single" w:sz="4" w:color="BDC3C7"/>
              <w:bottom w:val="single" w:sz="4" w:color="BDC3C7"/>
              <w:left w:val="single" w:sz="4" w:color="BDC3C7"/>
              <w:right w:val="single" w:sz="4" w:color="BDC3C7"/>
            </w:tcBorders>
          </w:tcPr>
          <w:p>
            <w:r>
              <w:t>$4,106M</w:t>
            </w:r>
          </w:p>
        </w:tc>
      </w:tr>
    </w:tbl>
    <w:p>
      <w:pPr>
        <w:pStyle w:val="SubHeading"/>
      </w:pPr>
      <w:r>
        <w:t>Management guidance:</w:t>
      </w:r>
    </w:p>
    <w:p>
      <w:pPr>
        <w:pStyle w:val="ListBullet"/>
      </w:pPr>
      <w:r>
        <w:t>Revenue (Q1 2026): $595M-$605M  — Deck p.10</w:t>
      </w:r>
    </w:p>
    <w:p>
      <w:pPr>
        <w:pStyle w:val="ListBullet"/>
      </w:pPr>
      <w:r>
        <w:t>Adj. EBITDA (Q1 2026): $210M-$220M  — Deck p.10</w:t>
      </w:r>
    </w:p>
    <w:p>
      <w:pPr>
        <w:pStyle w:val="PullQuote"/>
      </w:pPr>
      <w:r>
        <w:t>No structured edge identified — our estimate is within consensus range or no claim passed the public-data discipline.</w:t>
      </w:r>
    </w:p>
    <w:p>
      <w:r>
        <w:t>No clear edge identified — estimate is close to consensus range.</w:t>
      </w:r>
    </w:p>
    <w:p>
      <w:r>
        <w:t>The debate: Whether Reddit can sustain 40%+ revenue growth as it scales past $2B+ run-rate, and if the company's positioning as 'the most human place on the internet' creates durable competitive advantages in an AI-dominated landscape.</w:t>
      </w:r>
    </w:p>
    <w:p>
      <w:pPr>
        <w:pStyle w:val="PullQuote"/>
      </w:pPr>
      <w:r>
        <w:t>Counter: the analyst claims No clear edge identified - estimate close to consensus range — but This admission undermines the entire investment thesis. If there's no differentiated view, why take the position? The systematic guidance beats suggest the real edge might be in understanding management's conservative communication style, but the analyst missed this entirely.</w:t>
      </w:r>
    </w:p>
    <w:p>
      <w:pPr>
        <w:pStyle w:val="SectionHeading"/>
      </w:pPr>
      <w:r>
        <w:t>2. Drivers</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1958"/>
            <w:shd w:val="clear" w:color="auto" w:fill="E8EDF5"/>
            <w:tcBorders>
              <w:top w:val="single" w:sz="4" w:color="BDC3C7"/>
              <w:bottom w:val="single" w:sz="4" w:color="BDC3C7"/>
              <w:left w:val="single" w:sz="4" w:color="BDC3C7"/>
              <w:right w:val="single" w:sz="4" w:color="BDC3C7"/>
            </w:tcBorders>
          </w:tcPr>
          <w:p>
            <w:r>
              <w:rPr>
                <w:b/>
              </w:rPr>
              <w:t>Value</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c>
          <w:tcPr>
            <w:tcW w:type="dxa" w:w="1958"/>
            <w:shd w:val="clear" w:color="auto" w:fill="E8EDF5"/>
            <w:tcBorders>
              <w:top w:val="single" w:sz="4" w:color="BDC3C7"/>
              <w:bottom w:val="single" w:sz="4" w:color="BDC3C7"/>
              <w:left w:val="single" w:sz="4" w:color="BDC3C7"/>
              <w:right w:val="single" w:sz="4" w:color="BDC3C7"/>
            </w:tcBorders>
          </w:tcPr>
          <w:p>
            <w:r>
              <w:rPr>
                <w:b/>
              </w:rPr>
              <w:t>Ev</w:t>
            </w:r>
          </w:p>
        </w:tc>
        <w:tc>
          <w:tcPr>
            <w:tcW w:type="dxa" w:w="195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1958"/>
            <w:tcBorders>
              <w:top w:val="single" w:sz="4" w:color="BDC3C7"/>
              <w:bottom w:val="single" w:sz="4" w:color="BDC3C7"/>
              <w:left w:val="single" w:sz="4" w:color="BDC3C7"/>
              <w:right w:val="single" w:sz="4" w:color="BDC3C7"/>
            </w:tcBorders>
          </w:tcPr>
          <w:p>
            <w:r>
              <w:rPr>
                <w:b/>
              </w:rPr>
              <w:t>revenue_growth</w:t>
            </w:r>
          </w:p>
        </w:tc>
        <w:tc>
          <w:tcPr>
            <w:tcW w:type="dxa" w:w="1958"/>
            <w:tcBorders>
              <w:top w:val="single" w:sz="4" w:color="BDC3C7"/>
              <w:bottom w:val="single" w:sz="4" w:color="BDC3C7"/>
              <w:left w:val="single" w:sz="4" w:color="BDC3C7"/>
              <w:right w:val="single" w:sz="4" w:color="BDC3C7"/>
            </w:tcBorders>
          </w:tcPr>
          <w:p>
            <w:r>
              <w:rPr>
                <w:b/>
              </w:rPr>
              <w:t>+24.20%</w:t>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c>
          <w:tcPr>
            <w:tcW w:type="dxa" w:w="1958"/>
            <w:tcBorders>
              <w:top w:val="single" w:sz="4" w:color="BDC3C7"/>
              <w:bottom w:val="single" w:sz="4" w:color="BDC3C7"/>
              <w:left w:val="single" w:sz="4" w:color="BDC3C7"/>
              <w:right w:val="single" w:sz="4" w:color="BDC3C7"/>
            </w:tcBorders>
          </w:tcPr>
          <w:p>
            <w:r>
              <w:rPr>
                <w:b/>
              </w:rPr>
            </w:r>
          </w:p>
        </w:tc>
      </w:tr>
      <w:tr>
        <w:tc>
          <w:tcPr>
            <w:tcW w:type="dxa" w:w="1958"/>
            <w:tcBorders>
              <w:top w:val="single" w:sz="4" w:color="BDC3C7"/>
              <w:bottom w:val="single" w:sz="4" w:color="BDC3C7"/>
              <w:left w:val="single" w:sz="4" w:color="BDC3C7"/>
              <w:right w:val="single" w:sz="4" w:color="BDC3C7"/>
            </w:tcBorders>
          </w:tcPr>
          <w:p>
            <w:r>
              <w:t xml:space="preserve">    user_growth_contribution</w:t>
            </w:r>
          </w:p>
        </w:tc>
        <w:tc>
          <w:tcPr>
            <w:tcW w:type="dxa" w:w="1958"/>
            <w:tcBorders>
              <w:top w:val="single" w:sz="4" w:color="BDC3C7"/>
              <w:bottom w:val="single" w:sz="4" w:color="BDC3C7"/>
              <w:left w:val="single" w:sz="4" w:color="BDC3C7"/>
              <w:right w:val="single" w:sz="4" w:color="BDC3C7"/>
            </w:tcBorders>
          </w:tcPr>
          <w:p>
            <w:r>
              <w:t>+9.00%</w:t>
            </w:r>
          </w:p>
        </w:tc>
        <w:tc>
          <w:tcPr>
            <w:tcW w:type="dxa" w:w="1958"/>
            <w:tcBorders>
              <w:top w:val="single" w:sz="4" w:color="BDC3C7"/>
              <w:bottom w:val="single" w:sz="4" w:color="BDC3C7"/>
              <w:left w:val="single" w:sz="4" w:color="BDC3C7"/>
              <w:right w:val="single" w:sz="4" w:color="BDC3C7"/>
            </w:tcBorders>
          </w:tcPr>
          <w:p>
            <w:r>
              <w:t>0.65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In the Q4 2025 earnings call, CEO Steve Huffman reported DAU growth of 19% year-over-year to 121.4 million users, with management highlighting continued momentum in both US and international markets. The Q4 2025 sharehol  [auto-downgraded: citation text not found in corpus: 'Q4 2025 call CEO: 'we welcomed over 121 million daily active users to our platfo...']</w:t>
            </w:r>
          </w:p>
        </w:tc>
      </w:tr>
      <w:tr>
        <w:tc>
          <w:tcPr>
            <w:tcW w:type="dxa" w:w="1958"/>
            <w:tcBorders>
              <w:top w:val="single" w:sz="4" w:color="BDC3C7"/>
              <w:bottom w:val="single" w:sz="4" w:color="BDC3C7"/>
              <w:left w:val="single" w:sz="4" w:color="BDC3C7"/>
              <w:right w:val="single" w:sz="4" w:color="BDC3C7"/>
            </w:tcBorders>
          </w:tcPr>
          <w:p>
            <w:r>
              <w:t xml:space="preserve">    arpu_expansion</w:t>
            </w:r>
          </w:p>
        </w:tc>
        <w:tc>
          <w:tcPr>
            <w:tcW w:type="dxa" w:w="1958"/>
            <w:tcBorders>
              <w:top w:val="single" w:sz="4" w:color="BDC3C7"/>
              <w:bottom w:val="single" w:sz="4" w:color="BDC3C7"/>
              <w:left w:val="single" w:sz="4" w:color="BDC3C7"/>
              <w:right w:val="single" w:sz="4" w:color="BDC3C7"/>
            </w:tcBorders>
          </w:tcPr>
          <w:p>
            <w:r>
              <w:t>+7.20%</w:t>
            </w:r>
          </w:p>
        </w:tc>
        <w:tc>
          <w:tcPr>
            <w:tcW w:type="dxa" w:w="1958"/>
            <w:tcBorders>
              <w:top w:val="single" w:sz="4" w:color="BDC3C7"/>
              <w:bottom w:val="single" w:sz="4" w:color="BDC3C7"/>
              <w:left w:val="single" w:sz="4" w:color="BDC3C7"/>
              <w:right w:val="single" w:sz="4" w:color="BDC3C7"/>
            </w:tcBorders>
          </w:tcPr>
          <w:p>
            <w:r>
              <w:t>0.60</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The Q4 2025 shareholder letter disclosed global ARPU of $5.98, up 42% year-over-year, with US ARPU at $10.79 (+53% YoY) and international ARPU at $2.31 (+38% YoY). CFO Drew Valero noted in Q3 2025 that ARPU 'is still low  [auto-downgraded: basis contains numbers not found in corpus: +53%, +38%]</w:t>
            </w:r>
          </w:p>
        </w:tc>
      </w:tr>
      <w:tr>
        <w:tc>
          <w:tcPr>
            <w:tcW w:type="dxa" w:w="1958"/>
            <w:tcBorders>
              <w:top w:val="single" w:sz="4" w:color="BDC3C7"/>
              <w:bottom w:val="single" w:sz="4" w:color="BDC3C7"/>
              <w:left w:val="single" w:sz="4" w:color="BDC3C7"/>
              <w:right w:val="single" w:sz="4" w:color="BDC3C7"/>
            </w:tcBorders>
          </w:tcPr>
          <w:p>
            <w:r>
              <w:t xml:space="preserve">    international_acceleration</w:t>
            </w:r>
          </w:p>
        </w:tc>
        <w:tc>
          <w:tcPr>
            <w:tcW w:type="dxa" w:w="1958"/>
            <w:tcBorders>
              <w:top w:val="single" w:sz="4" w:color="BDC3C7"/>
              <w:bottom w:val="single" w:sz="4" w:color="BDC3C7"/>
              <w:left w:val="single" w:sz="4" w:color="BDC3C7"/>
              <w:right w:val="single" w:sz="4" w:color="BDC3C7"/>
            </w:tcBorders>
          </w:tcPr>
          <w:p>
            <w:r>
              <w:t>8.00×</w:t>
            </w:r>
          </w:p>
        </w:tc>
        <w:tc>
          <w:tcPr>
            <w:tcW w:type="dxa" w:w="1958"/>
            <w:tcBorders>
              <w:top w:val="single" w:sz="4" w:color="BDC3C7"/>
              <w:bottom w:val="single" w:sz="4" w:color="BDC3C7"/>
              <w:left w:val="single" w:sz="4" w:color="BDC3C7"/>
              <w:right w:val="single" w:sz="4" w:color="BDC3C7"/>
            </w:tcBorders>
          </w:tcPr>
          <w:p>
            <w:r>
              <w:t>0.55</w:t>
            </w:r>
          </w:p>
        </w:tc>
        <w:tc>
          <w:tcPr>
            <w:tcW w:type="dxa" w:w="1958"/>
            <w:tcBorders>
              <w:top w:val="single" w:sz="4" w:color="BDC3C7"/>
              <w:bottom w:val="single" w:sz="4" w:color="BDC3C7"/>
              <w:left w:val="single" w:sz="4" w:color="BDC3C7"/>
              <w:right w:val="single" w:sz="4" w:color="BDC3C7"/>
            </w:tcBorders>
          </w:tcPr>
          <w:p>
            <w:r/>
            <w:r>
              <w:rPr>
                <w:b/>
                <w:color w:val="2E5A88"/>
              </w:rPr>
              <w:t>I</w:t>
            </w:r>
          </w:p>
        </w:tc>
        <w:tc>
          <w:tcPr>
            <w:tcW w:type="dxa" w:w="1958"/>
            <w:tcBorders>
              <w:top w:val="single" w:sz="4" w:color="BDC3C7"/>
              <w:bottom w:val="single" w:sz="4" w:color="BDC3C7"/>
              <w:left w:val="single" w:sz="4" w:color="BDC3C7"/>
              <w:right w:val="single" w:sz="4" w:color="BDC3C7"/>
            </w:tcBorders>
          </w:tcPr>
          <w:p>
            <w:r>
              <w:t>International revenue consistently outpaced US growth across recent quarters, with Q4 2025 showing 78% international growth vs 68% US growth. The shareholder letter highlighted machine translation covering 35 languages a  [auto-downgraded: citation text not found in corpus: 'Q4 2025 shareholder letter: 'International revenue grew 78% year-over-year' vs '...']</w:t>
            </w:r>
          </w:p>
        </w:tc>
      </w:tr>
    </w:tbl>
    <w:p>
      <w:pPr>
        <w:pStyle w:val="ReportCaption"/>
      </w:pPr>
      <w:r>
        <w:t>Evidence: C = cited (verbatim support in corpus),  I = inferred (logical chain from cited facts),  S = speculative (plausible mechanism, no direct support).</w:t>
      </w:r>
    </w:p>
    <w:p>
      <w:pPr>
        <w:pStyle w:val="SubHeading"/>
      </w:pPr>
      <w:r>
        <w:t>Bear revisions:</w:t>
      </w:r>
    </w:p>
    <w:p>
      <w:pPr>
        <w:pStyle w:val="ListBullet"/>
      </w:pPr>
      <w:r>
        <w:t>revenue_growth.user_growth_contribution: 15.0 → 8.0 — User growth could decelerate more sharply as Reddit approaches saturation in core English-speaking markets, and international expansion faces execution challenges with lower monetization rates</w:t>
      </w:r>
    </w:p>
    <w:p>
      <w:pPr>
        <w:pStyle w:val="ListBullet"/>
      </w:pPr>
      <w:r>
        <w:t>revenue_growth.arpu_expansion: 12.0 → 6.0 — ARPU growth may face headwinds from advertising market normalization and increased competition from other social platforms for advertiser budgets, particularly if authenticity concerns impact brand safety perceptions</w:t>
      </w:r>
    </w:p>
    <w:p>
      <w:pPr>
        <w:pStyle w:val="PullQuote"/>
      </w:pPr>
      <w:r>
        <w:t>Counter: the analyst claims User growth contributing 15% and ARPU expansion contributing 12% to revenue growth — but DAUq growth was only 19% YoY while revenue grew 70% YoY, suggesting revenue growth is not primarily user-driven but likely pricing/inventory-driven in advertising, making it less sustainable and more cyclical than organic user-driven growth.</w:t>
      </w:r>
    </w:p>
    <w:p>
      <w:pPr>
        <w:pStyle w:val="SectionHeading"/>
      </w:pPr>
      <w:r>
        <w:t>3. Consensus Gap &amp; Valuation</w:t>
      </w:r>
    </w:p>
    <w:p>
      <w:r>
        <w:t>Our estimate: EPS $11.19 vs. consensus $4.13 ($7.06 / 170.7% above).</w:t>
      </w:r>
    </w:p>
    <w:p>
      <w:r>
        <w:t>Our estimate is $7.06 (170.7%) above consensus $4.13. No single driver within plausible bounds can close the gap to consensus when other drivers are held at our values; the EPS variant is diffuse (top magnitude: revenue_growth.user_growth_contribution). Variant appears NOT fully priced in based on available market data. Next catalyst: Next quarterly earnings report (2026-04-30 (2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revenue_growth.user_growth_contribution</w:t>
            </w:r>
          </w:p>
        </w:tc>
        <w:tc>
          <w:tcPr>
            <w:tcW w:type="dxa" w:w="1958"/>
            <w:tcBorders>
              <w:top w:val="single" w:sz="4" w:color="BDC3C7"/>
              <w:bottom w:val="single" w:sz="4" w:color="BDC3C7"/>
              <w:left w:val="single" w:sz="4" w:color="BDC3C7"/>
              <w:right w:val="single" w:sz="4" w:color="BDC3C7"/>
            </w:tcBorders>
          </w:tcPr>
          <w:p>
            <w:r>
              <w:t>+9.00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revenue_growth.arpu_expansion</w:t>
            </w:r>
          </w:p>
        </w:tc>
        <w:tc>
          <w:tcPr>
            <w:tcW w:type="dxa" w:w="1958"/>
            <w:tcBorders>
              <w:top w:val="single" w:sz="4" w:color="BDC3C7"/>
              <w:bottom w:val="single" w:sz="4" w:color="BDC3C7"/>
              <w:left w:val="single" w:sz="4" w:color="BDC3C7"/>
              <w:right w:val="single" w:sz="4" w:color="BDC3C7"/>
            </w:tcBorders>
          </w:tcPr>
          <w:p>
            <w:r>
              <w:t>+7.20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revenue_growth.international_acceleration</w:t>
            </w:r>
          </w:p>
        </w:tc>
        <w:tc>
          <w:tcPr>
            <w:tcW w:type="dxa" w:w="1958"/>
            <w:tcBorders>
              <w:top w:val="single" w:sz="4" w:color="BDC3C7"/>
              <w:bottom w:val="single" w:sz="4" w:color="BDC3C7"/>
              <w:left w:val="single" w:sz="4" w:color="BDC3C7"/>
              <w:right w:val="single" w:sz="4" w:color="BDC3C7"/>
            </w:tcBorders>
          </w:tcPr>
          <w:p>
            <w:r>
              <w:t>+8.00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0.35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(+170.7%) exceeds implied move (9.7%). Short interest 12.1% supports</w:t>
      </w:r>
    </w:p>
    <w:p>
      <w:r>
        <w:t>Edge verdict: ACTIONABLE_EDGE (score 0.400).</w:t>
      </w:r>
    </w:p>
    <w:p>
      <w:pPr>
        <w:pStyle w:val="PullQuote"/>
      </w:pPr>
      <w:r>
        <w:t>Counter: the analyst claims Consensus EPS of $4.13 is achievable — but Q4 2025 delivered $1.24 diluted EPS, implying consensus expects ~$1.03 quarterly run-rate. But Q1 2026 adjusted EBITDA guidance of $210-220M vs Q4's $327M shows significant sequential decline, making the consensus target appear optimistic rather than conservative.</w:t>
      </w:r>
    </w:p>
    <w:p>
      <w:pPr>
        <w:pStyle w:val="SectionHeading"/>
      </w:pPr>
      <w:r>
        <w:t>4. Catalysts</w:t>
      </w:r>
    </w:p>
    <w:p>
      <w:pPr>
        <w:pStyle w:val="ListBullet"/>
      </w:pPr>
      <w:r>
        <w:t>Next quarterly earnings report (2026-04-30 (2 days)) — resolves revenue + margins + guidance; confirms or challenges</w:t>
      </w:r>
    </w:p>
    <w:p>
      <w:pPr>
        <w:pStyle w:val="ListBullet"/>
      </w:pPr>
      <w:r>
        <w:t>Resolution: Reddit's 'authenticity moat' provides sustainable competitive advantage (Resolves at earnings (2026-04-30)) — resolves revenue_growth; confirms or challenges</w:t>
      </w:r>
    </w:p>
    <w:p>
      <w:pPr>
        <w:pStyle w:val="ListBullet"/>
      </w:pPr>
      <w:r>
        <w:t>Resolution: Advertising growth can continue at 40%+ rates (Resolves at earnings (2026-04-30)) — resolves revenue_growth; confirms or challenges</w:t>
      </w:r>
    </w:p>
    <w:p>
      <w:pPr>
        <w:pStyle w:val="ListBullet"/>
      </w:pPr>
      <w:r>
        <w:t>Resolution: Analyst blind spot (Multi-year thesis -- patience required) — resolves general; confirms or challenges</w:t>
      </w:r>
    </w:p>
    <w:p>
      <w:pPr>
        <w:pStyle w:val="ListBullet"/>
      </w:pPr>
      <w:r>
        <w:t>Specific breakdown of advertising revenue by funnel stage (upper vs lower funnel performance) (Unknown timing) — resolves multiple; resolves uncertainty</w:t>
      </w:r>
    </w:p>
    <w:p>
      <w:pPr>
        <w:pStyle w:val="ListBullet"/>
      </w:pPr>
      <w:r>
        <w:t>Quantified impact of new verification systems on user engagement and advertiser confidence (Unknown timing) — resolves multiple; resolves uncertainty</w:t>
      </w:r>
    </w:p>
    <w:p>
      <w:pPr>
        <w:pStyle w:val="SectionHeading"/>
      </w:pPr>
      <w:r>
        <w:t>5. Risks, Blind Spots &amp; Kill Criteria</w:t>
      </w:r>
    </w:p>
    <w:p>
      <w:pPr>
        <w:pStyle w:val="SubHeading"/>
      </w:pPr>
      <w:r>
        <w:t>Top risks:</w:t>
      </w:r>
    </w:p>
    <w:p>
      <w:pPr>
        <w:pStyle w:val="ListBullet"/>
      </w:pPr>
      <w:r>
        <w:t>Advertising growth can continue at 40%+ rates — counter: Q1 2026 guidance of $595-605M revenue implies ~18% sequential decline from Q4 2025's $726M, and management's conservative guidance history suggests they see meaningful headwinds. The 'Rule of 115' metric (70% revenue growth + 45% EBITDA margin) in Q4 may represent a peak rather than sustainable level. [serious]</w:t>
      </w:r>
    </w:p>
    <w:p>
      <w:pPr>
        <w:pStyle w:val="ListBullet"/>
      </w:pPr>
      <w:r>
        <w:t>Reddit can sustain 40%+ revenue growth as it scales past $2B+ run-rate — counter: Q1 2026 guidance of $595-605M represents sequential decline from Q4 2025's $726M and implies ~17% YoY growth, well below the 40% threshold. Filing shows this guidance across multiple sources. [serious]</w:t>
      </w:r>
    </w:p>
    <w:p>
      <w:pPr>
        <w:pStyle w:val="ListBullet"/>
      </w:pPr>
      <w:r>
        <w:t>International acceleration contributing 8% to revenue growth — counter: No international revenue breakout or international-specific metrics found in filing, transcripts, or deck. Management guidance tracker shows no international-specific guidance or attribution across 4 quarters of earnings calls. [serious]</w:t>
      </w:r>
    </w:p>
    <w:p>
      <w:pPr>
        <w:pStyle w:val="SubHeading"/>
      </w:pPr>
      <w:r>
        <w:t>Blind spots (auditor-independent):</w:t>
      </w:r>
    </w:p>
    <w:p>
      <w:pPr>
        <w:pStyle w:val="ListBullet"/>
      </w:pPr>
      <w:r>
        <w:t>Seasonal revenue patterns - Q4 2025 hit $726M but Q1 2026 guided to $595-605M, suggesting strong seasonality not factored into growth assumptions</w:t>
      </w:r>
    </w:p>
    <w:p>
      <w:pPr>
        <w:pStyle w:val="ListBullet"/>
      </w:pPr>
      <w:r>
        <w:t>Management's systematic conservative guidance pattern - beats of 7-9% suggest guidance is not a ceiling but a floor, making forward projections unreliable</w:t>
      </w:r>
    </w:p>
    <w:p>
      <w:pPr>
        <w:pStyle w:val="ListBullet"/>
      </w:pPr>
      <w:r>
        <w:t>Share count dynamics - filing shows shares 'flat sequentially and down year-over-year' despite growth story, indicating aggressive buybacks may be masking per-share growth challenges</w:t>
      </w:r>
    </w:p>
    <w:p>
      <w:pPr>
        <w:pStyle w:val="KillCriteria"/>
      </w:pPr>
      <w:r>
        <w:t>What would change our mind: Unable to close gap: Specific breakdown of advertising revenue by funnel stage (upper vs lower funnel performance)</w:t>
      </w:r>
    </w:p>
    <w:p>
      <w:pPr>
        <w:pStyle w:val="SectionHeading"/>
      </w:pPr>
      <w:r>
        <w:t>Appendix</w:t>
      </w:r>
    </w:p>
    <w:p>
      <w:pPr>
        <w:pStyle w:val="SubHeading"/>
      </w:pPr>
      <w:r>
        <w:t>Business context:</w:t>
      </w:r>
    </w:p>
    <w:p>
      <w:r>
        <w:t>Reddit operates a community-based social platform that monetizes primarily through advertising (~95% of revenue) while licensing its conversation data to AI companies (~5%). The platform hosts user-generated content across thousands of communities (subreddits) and has become a critical source of authentic human conversation data for AI training.</w:t>
      </w:r>
    </w:p>
    <w:p>
      <w:pPr>
        <w:pStyle w:val="SubHeading"/>
      </w:pPr>
      <w:r>
        <w:t>Evidence gaps (research TODO):</w:t>
      </w:r>
    </w:p>
    <w:p>
      <w:pPr>
        <w:pStyle w:val="ListBullet"/>
      </w:pPr>
      <w:r>
        <w:t>Specific breakdown of advertising revenue by funnel stage (upper vs lower funnel performance)</w:t>
      </w:r>
    </w:p>
    <w:p>
      <w:pPr>
        <w:pStyle w:val="ListBullet"/>
      </w:pPr>
      <w:r>
        <w:t>Quantified impact of new verification systems on user engagement and advertiser confidence</w:t>
      </w:r>
    </w:p>
    <w:p>
      <w:pPr>
        <w:pStyle w:val="ListBullet"/>
      </w:pPr>
      <w:r>
        <w:t>Detailed international market penetration rates and monetization roadmap by geography</w:t>
      </w:r>
    </w:p>
    <w:p>
      <w:pPr>
        <w:pStyle w:val="ListBullet"/>
      </w:pPr>
      <w:r>
        <w:t>Competitive response from other platforms to Reddit's AI data licensing business</w:t>
      </w:r>
    </w:p>
    <w:p>
      <w:pPr>
        <w:pStyle w:val="ListBullet"/>
      </w:pPr>
      <w:r>
        <w:t>Management's definition of 'bold targets' that were supposedly surpassed in 2025</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