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portTitle"/>
      </w:pPr>
      <w:r>
        <w:t>SRAD — SRAD</w:t>
      </w:r>
    </w:p>
    <w:p>
      <w:pPr>
        <w:pStyle w:val="SmallMeta"/>
      </w:pPr>
      <w:r>
        <w:t>As of 2026-06-30  |  Schema: general  |  Data: alpha_vantage (FY2025)</w:t>
      </w:r>
    </w:p>
    <w:p>
      <w:pPr>
        <w:pStyle w:val="SubHeading"/>
      </w:pPr>
      <w:r>
        <w:rPr>
          <w:color w:val="8C1D40"/>
        </w:rPr>
        <w:t>Direction: SHORT | Current: $14.93</w:t>
      </w:r>
    </w:p>
    <w:p>
      <w:pPr>
        <w:pStyle w:val="SubHeading"/>
      </w:pPr>
      <w:r>
        <w:t>Summary</w:t>
      </w:r>
    </w:p>
    <w:p>
      <w:pPr>
        <w:pStyle w:val="ListBullet"/>
      </w:pPr>
      <w:r>
        <w:t>Thesis: Three-part thesis: (1) Consensus FY2026 revenue of $1,559M sits ~3% below management's own guided midpoint of ~$1,610M (constant currency), and the street's EPS revisions (0 up / 3 down over 30 days) reflect short-seller-driven sentiment rather than fundamental model changes — creating a gap between the guided revenue trajectory and where consensus sits; (2) The street's FY2027 EPS of $0.75 materially underprices the margin expansion path to 30%+ Adj. EBITDA, which — when translated through the GAAP bridge — implies EPS well above consensus; (3) The Kalshi prediction markets partnership (announced June 8, 2026) is an unmodeled revenue optionality that consensus assigns near-zero value to, while management's back-half 2026 guidance confidence explicitly cites prediction market revenue as a key pillar.</w:t>
      </w:r>
    </w:p>
    <w:p>
      <w:pPr>
        <w:pStyle w:val="ListBullet"/>
      </w:pPr>
      <w:r>
        <w:t>Next catalyst: Next quarterly earnings report (2026-07-28 (28 days))</w:t>
      </w:r>
    </w:p>
    <w:p>
      <w:pPr>
        <w:pStyle w:val="ListBullet"/>
      </w:pPr>
      <w:r>
        <w:t>Top risk: The Muddy Waters allegations are non-fundamental and the insider buying signals the allegations are non-existential</w:t>
      </w:r>
    </w:p>
    <w:tbl>
      <w:tblPr>
        <w:tblW w:type="auto" w:w="0"/>
        <w:tblLook w:firstColumn="1" w:firstRow="1" w:lastColumn="0" w:lastRow="0" w:noHBand="0" w:noVBand="1" w:val="04A0"/>
      </w:tblPr>
      <w:tblGrid>
        <w:gridCol w:w="9792"/>
      </w:tblGrid>
      <w:tr>
        <w:tc>
          <w:tcPr>
            <w:tcW w:type="dxa" w:w="9792"/>
            <w:shd w:val="clear" w:color="auto" w:fill="FBE9EC"/>
            <w:tcBorders>
              <w:top w:val="single" w:sz="4" w:color="BDC3C7"/>
              <w:bottom w:val="single" w:sz="4" w:color="BDC3C7"/>
              <w:left w:val="single" w:sz="4" w:color="BDC3C7"/>
              <w:right w:val="single" w:sz="4" w:color="BDC3C7"/>
            </w:tcBorders>
          </w:tcPr>
          <w:p>
            <w:pPr>
              <w:pStyle w:val="WarningBanner"/>
            </w:pPr>
            <w:r>
              <w:t>⚠ Schema mismatch: peer comps fit 'software' but the brief picked 'general'. The mechanical model will use generic defaults; final EPS may be unreliable.</w:t>
            </w:r>
          </w:p>
        </w:tc>
      </w:tr>
      <w:tr>
        <w:tc>
          <w:tcPr>
            <w:tcW w:type="dxa" w:w="9792"/>
            <w:shd w:val="clear" w:color="auto" w:fill="FBE9EC"/>
            <w:tcBorders>
              <w:top w:val="single" w:sz="4" w:color="BDC3C7"/>
              <w:bottom w:val="single" w:sz="4" w:color="BDC3C7"/>
              <w:left w:val="single" w:sz="4" w:color="BDC3C7"/>
              <w:right w:val="single" w:sz="4" w:color="BDC3C7"/>
            </w:tcBorders>
          </w:tcPr>
          <w:p>
            <w:pPr>
              <w:pStyle w:val="WarningBanner"/>
            </w:pPr>
            <w:r>
              <w:t>⚠ Thin brief drivers (1 drivers / 3 components) on schema 'general'. The mechanical model and edge variant back-solve may be unreliable.</w:t>
            </w:r>
          </w:p>
        </w:tc>
      </w:tr>
    </w:tbl>
    <w:p>
      <w:pPr>
        <w:pStyle w:val="SectionHeading"/>
      </w:pPr>
      <w:r>
        <w:t>Street Consensus</w:t>
      </w:r>
    </w:p>
    <w:tbl>
      <w:tblPr>
        <w:tblW w:type="auto" w:w="0"/>
        <w:tblLook w:firstColumn="1" w:firstRow="1" w:lastColumn="0" w:lastRow="0" w:noHBand="0" w:noVBand="1" w:val="04A0"/>
      </w:tblPr>
      <w:tblGrid>
        <w:gridCol w:w="1399"/>
        <w:gridCol w:w="1399"/>
        <w:gridCol w:w="1399"/>
        <w:gridCol w:w="1399"/>
        <w:gridCol w:w="1399"/>
        <w:gridCol w:w="1399"/>
        <w:gridCol w:w="1399"/>
      </w:tblGrid>
      <w:tr>
        <w:tc>
          <w:tcPr>
            <w:tcW w:type="dxa" w:w="1399"/>
            <w:shd w:val="clear" w:color="auto" w:fill="E8EDF5"/>
            <w:tcBorders>
              <w:top w:val="single" w:sz="4" w:color="BDC3C7"/>
              <w:bottom w:val="single" w:sz="4" w:color="BDC3C7"/>
              <w:left w:val="single" w:sz="4" w:color="BDC3C7"/>
              <w:right w:val="single" w:sz="4" w:color="BDC3C7"/>
            </w:tcBorders>
          </w:tcPr>
          <w:p>
            <w:r>
              <w:rPr>
                <w:b/>
              </w:rPr>
              <w:t>Period</w:t>
            </w:r>
          </w:p>
        </w:tc>
        <w:tc>
          <w:tcPr>
            <w:tcW w:type="dxa" w:w="1399"/>
            <w:shd w:val="clear" w:color="auto" w:fill="E8EDF5"/>
            <w:tcBorders>
              <w:top w:val="single" w:sz="4" w:color="BDC3C7"/>
              <w:bottom w:val="single" w:sz="4" w:color="BDC3C7"/>
              <w:left w:val="single" w:sz="4" w:color="BDC3C7"/>
              <w:right w:val="single" w:sz="4" w:color="BDC3C7"/>
            </w:tcBorders>
          </w:tcPr>
          <w:p>
            <w:r>
              <w:rPr>
                <w:b/>
              </w:rPr>
              <w:t>EPS (mean)</w:t>
            </w:r>
          </w:p>
        </w:tc>
        <w:tc>
          <w:tcPr>
            <w:tcW w:type="dxa" w:w="1399"/>
            <w:shd w:val="clear" w:color="auto" w:fill="E8EDF5"/>
            <w:tcBorders>
              <w:top w:val="single" w:sz="4" w:color="BDC3C7"/>
              <w:bottom w:val="single" w:sz="4" w:color="BDC3C7"/>
              <w:left w:val="single" w:sz="4" w:color="BDC3C7"/>
              <w:right w:val="single" w:sz="4" w:color="BDC3C7"/>
            </w:tcBorders>
          </w:tcPr>
          <w:p>
            <w:r>
              <w:rPr>
                <w:b/>
              </w:rPr>
              <w:t>Range</w:t>
            </w:r>
          </w:p>
        </w:tc>
        <w:tc>
          <w:tcPr>
            <w:tcW w:type="dxa" w:w="1399"/>
            <w:shd w:val="clear" w:color="auto" w:fill="E8EDF5"/>
            <w:tcBorders>
              <w:top w:val="single" w:sz="4" w:color="BDC3C7"/>
              <w:bottom w:val="single" w:sz="4" w:color="BDC3C7"/>
              <w:left w:val="single" w:sz="4" w:color="BDC3C7"/>
              <w:right w:val="single" w:sz="4" w:color="BDC3C7"/>
            </w:tcBorders>
          </w:tcPr>
          <w:p>
            <w:r>
              <w:rPr>
                <w:b/>
              </w:rPr>
              <w:t>n</w:t>
            </w:r>
          </w:p>
        </w:tc>
        <w:tc>
          <w:tcPr>
            <w:tcW w:type="dxa" w:w="1399"/>
            <w:shd w:val="clear" w:color="auto" w:fill="E8EDF5"/>
            <w:tcBorders>
              <w:top w:val="single" w:sz="4" w:color="BDC3C7"/>
              <w:bottom w:val="single" w:sz="4" w:color="BDC3C7"/>
              <w:left w:val="single" w:sz="4" w:color="BDC3C7"/>
              <w:right w:val="single" w:sz="4" w:color="BDC3C7"/>
            </w:tcBorders>
          </w:tcPr>
          <w:p>
            <w:r>
              <w:rPr>
                <w:b/>
              </w:rPr>
              <w:t>YoY</w:t>
            </w:r>
          </w:p>
        </w:tc>
        <w:tc>
          <w:tcPr>
            <w:tcW w:type="dxa" w:w="1399"/>
            <w:shd w:val="clear" w:color="auto" w:fill="E8EDF5"/>
            <w:tcBorders>
              <w:top w:val="single" w:sz="4" w:color="BDC3C7"/>
              <w:bottom w:val="single" w:sz="4" w:color="BDC3C7"/>
              <w:left w:val="single" w:sz="4" w:color="BDC3C7"/>
              <w:right w:val="single" w:sz="4" w:color="BDC3C7"/>
            </w:tcBorders>
          </w:tcPr>
          <w:p>
            <w:r>
              <w:rPr>
                <w:b/>
              </w:rPr>
              <w:t>30d Δ</w:t>
            </w:r>
          </w:p>
        </w:tc>
        <w:tc>
          <w:tcPr>
            <w:tcW w:type="dxa" w:w="1399"/>
            <w:shd w:val="clear" w:color="auto" w:fill="E8EDF5"/>
            <w:tcBorders>
              <w:top w:val="single" w:sz="4" w:color="BDC3C7"/>
              <w:bottom w:val="single" w:sz="4" w:color="BDC3C7"/>
              <w:left w:val="single" w:sz="4" w:color="BDC3C7"/>
              <w:right w:val="single" w:sz="4" w:color="BDC3C7"/>
            </w:tcBorders>
          </w:tcPr>
          <w:p>
            <w:r>
              <w:rPr>
                <w:b/>
              </w:rPr>
              <w:t>Revs 30d</w:t>
            </w:r>
          </w:p>
        </w:tc>
      </w:tr>
      <w:tr>
        <w:tc>
          <w:tcPr>
            <w:tcW w:type="dxa" w:w="1399"/>
            <w:tcBorders>
              <w:top w:val="single" w:sz="4" w:color="BDC3C7"/>
              <w:bottom w:val="single" w:sz="4" w:color="BDC3C7"/>
              <w:left w:val="single" w:sz="4" w:color="BDC3C7"/>
              <w:right w:val="single" w:sz="4" w:color="BDC3C7"/>
            </w:tcBorders>
          </w:tcPr>
          <w:p>
            <w:r>
              <w:t>Current Quarter</w:t>
            </w:r>
          </w:p>
        </w:tc>
        <w:tc>
          <w:tcPr>
            <w:tcW w:type="dxa" w:w="1399"/>
            <w:tcBorders>
              <w:top w:val="single" w:sz="4" w:color="BDC3C7"/>
              <w:bottom w:val="single" w:sz="4" w:color="BDC3C7"/>
              <w:left w:val="single" w:sz="4" w:color="BDC3C7"/>
              <w:right w:val="single" w:sz="4" w:color="BDC3C7"/>
            </w:tcBorders>
          </w:tcPr>
          <w:p>
            <w:r>
              <w:t>$0.07</w:t>
            </w:r>
          </w:p>
        </w:tc>
        <w:tc>
          <w:tcPr>
            <w:tcW w:type="dxa" w:w="1399"/>
            <w:tcBorders>
              <w:top w:val="single" w:sz="4" w:color="BDC3C7"/>
              <w:bottom w:val="single" w:sz="4" w:color="BDC3C7"/>
              <w:left w:val="single" w:sz="4" w:color="BDC3C7"/>
              <w:right w:val="single" w:sz="4" w:color="BDC3C7"/>
            </w:tcBorders>
          </w:tcPr>
          <w:p>
            <w:r>
              <w:t>$0.06 – $0.08</w:t>
            </w:r>
          </w:p>
        </w:tc>
        <w:tc>
          <w:tcPr>
            <w:tcW w:type="dxa" w:w="1399"/>
            <w:tcBorders>
              <w:top w:val="single" w:sz="4" w:color="BDC3C7"/>
              <w:bottom w:val="single" w:sz="4" w:color="BDC3C7"/>
              <w:left w:val="single" w:sz="4" w:color="BDC3C7"/>
              <w:right w:val="single" w:sz="4" w:color="BDC3C7"/>
            </w:tcBorders>
          </w:tcPr>
          <w:p>
            <w:r>
              <w:t>3</w:t>
            </w:r>
          </w:p>
        </w:tc>
        <w:tc>
          <w:tcPr>
            <w:tcW w:type="dxa" w:w="1399"/>
            <w:tcBorders>
              <w:top w:val="single" w:sz="4" w:color="BDC3C7"/>
              <w:bottom w:val="single" w:sz="4" w:color="BDC3C7"/>
              <w:left w:val="single" w:sz="4" w:color="BDC3C7"/>
              <w:right w:val="single" w:sz="4" w:color="BDC3C7"/>
            </w:tcBorders>
          </w:tcPr>
          <w:p>
            <w:r>
              <w:t>+579.6%</w:t>
            </w:r>
          </w:p>
        </w:tc>
        <w:tc>
          <w:tcPr>
            <w:tcW w:type="dxa" w:w="1399"/>
            <w:tcBorders>
              <w:top w:val="single" w:sz="4" w:color="BDC3C7"/>
              <w:bottom w:val="single" w:sz="4" w:color="BDC3C7"/>
              <w:left w:val="single" w:sz="4" w:color="BDC3C7"/>
              <w:right w:val="single" w:sz="4" w:color="BDC3C7"/>
            </w:tcBorders>
          </w:tcPr>
          <w:p>
            <w:r>
              <w:t>≈ +0.000</w:t>
            </w:r>
          </w:p>
        </w:tc>
        <w:tc>
          <w:tcPr>
            <w:tcW w:type="dxa" w:w="1399"/>
            <w:tcBorders>
              <w:top w:val="single" w:sz="4" w:color="BDC3C7"/>
              <w:bottom w:val="single" w:sz="4" w:color="BDC3C7"/>
              <w:left w:val="single" w:sz="4" w:color="BDC3C7"/>
              <w:right w:val="single" w:sz="4" w:color="BDC3C7"/>
            </w:tcBorders>
          </w:tcPr>
          <w:p>
            <w:r>
              <w:t>↑0 / ↓2</w:t>
            </w:r>
          </w:p>
        </w:tc>
      </w:tr>
      <w:tr>
        <w:tc>
          <w:tcPr>
            <w:tcW w:type="dxa" w:w="1399"/>
            <w:tcBorders>
              <w:top w:val="single" w:sz="4" w:color="BDC3C7"/>
              <w:bottom w:val="single" w:sz="4" w:color="BDC3C7"/>
              <w:left w:val="single" w:sz="4" w:color="BDC3C7"/>
              <w:right w:val="single" w:sz="4" w:color="BDC3C7"/>
            </w:tcBorders>
          </w:tcPr>
          <w:p>
            <w:r>
              <w:t>Next Quarter</w:t>
            </w:r>
          </w:p>
        </w:tc>
        <w:tc>
          <w:tcPr>
            <w:tcW w:type="dxa" w:w="1399"/>
            <w:tcBorders>
              <w:top w:val="single" w:sz="4" w:color="BDC3C7"/>
              <w:bottom w:val="single" w:sz="4" w:color="BDC3C7"/>
              <w:left w:val="single" w:sz="4" w:color="BDC3C7"/>
              <w:right w:val="single" w:sz="4" w:color="BDC3C7"/>
            </w:tcBorders>
          </w:tcPr>
          <w:p>
            <w:r>
              <w:t>$0.18</w:t>
            </w:r>
          </w:p>
        </w:tc>
        <w:tc>
          <w:tcPr>
            <w:tcW w:type="dxa" w:w="1399"/>
            <w:tcBorders>
              <w:top w:val="single" w:sz="4" w:color="BDC3C7"/>
              <w:bottom w:val="single" w:sz="4" w:color="BDC3C7"/>
              <w:left w:val="single" w:sz="4" w:color="BDC3C7"/>
              <w:right w:val="single" w:sz="4" w:color="BDC3C7"/>
            </w:tcBorders>
          </w:tcPr>
          <w:p>
            <w:r>
              <w:t>$0.15 – $0.21</w:t>
            </w:r>
          </w:p>
        </w:tc>
        <w:tc>
          <w:tcPr>
            <w:tcW w:type="dxa" w:w="1399"/>
            <w:tcBorders>
              <w:top w:val="single" w:sz="4" w:color="BDC3C7"/>
              <w:bottom w:val="single" w:sz="4" w:color="BDC3C7"/>
              <w:left w:val="single" w:sz="4" w:color="BDC3C7"/>
              <w:right w:val="single" w:sz="4" w:color="BDC3C7"/>
            </w:tcBorders>
          </w:tcPr>
          <w:p>
            <w:r>
              <w:t>3</w:t>
            </w:r>
          </w:p>
        </w:tc>
        <w:tc>
          <w:tcPr>
            <w:tcW w:type="dxa" w:w="1399"/>
            <w:tcBorders>
              <w:top w:val="single" w:sz="4" w:color="BDC3C7"/>
              <w:bottom w:val="single" w:sz="4" w:color="BDC3C7"/>
              <w:left w:val="single" w:sz="4" w:color="BDC3C7"/>
              <w:right w:val="single" w:sz="4" w:color="BDC3C7"/>
            </w:tcBorders>
          </w:tcPr>
          <w:p>
            <w:r>
              <w:t>+54.2%</w:t>
            </w:r>
          </w:p>
        </w:tc>
        <w:tc>
          <w:tcPr>
            <w:tcW w:type="dxa" w:w="1399"/>
            <w:tcBorders>
              <w:top w:val="single" w:sz="4" w:color="BDC3C7"/>
              <w:bottom w:val="single" w:sz="4" w:color="BDC3C7"/>
              <w:left w:val="single" w:sz="4" w:color="BDC3C7"/>
              <w:right w:val="single" w:sz="4" w:color="BDC3C7"/>
            </w:tcBorders>
          </w:tcPr>
          <w:p>
            <w:r>
              <w:t>≈ +0.000</w:t>
            </w:r>
          </w:p>
        </w:tc>
        <w:tc>
          <w:tcPr>
            <w:tcW w:type="dxa" w:w="1399"/>
            <w:tcBorders>
              <w:top w:val="single" w:sz="4" w:color="BDC3C7"/>
              <w:bottom w:val="single" w:sz="4" w:color="BDC3C7"/>
              <w:left w:val="single" w:sz="4" w:color="BDC3C7"/>
              <w:right w:val="single" w:sz="4" w:color="BDC3C7"/>
            </w:tcBorders>
          </w:tcPr>
          <w:p>
            <w:r>
              <w:t>↑2 / ↓0</w:t>
            </w:r>
          </w:p>
        </w:tc>
      </w:tr>
      <w:tr>
        <w:tc>
          <w:tcPr>
            <w:tcW w:type="dxa" w:w="1399"/>
            <w:tcBorders>
              <w:top w:val="single" w:sz="4" w:color="BDC3C7"/>
              <w:bottom w:val="single" w:sz="4" w:color="BDC3C7"/>
              <w:left w:val="single" w:sz="4" w:color="BDC3C7"/>
              <w:right w:val="single" w:sz="4" w:color="BDC3C7"/>
            </w:tcBorders>
          </w:tcPr>
          <w:p>
            <w:r>
              <w:t>Current Fiscal Year</w:t>
            </w:r>
          </w:p>
        </w:tc>
        <w:tc>
          <w:tcPr>
            <w:tcW w:type="dxa" w:w="1399"/>
            <w:tcBorders>
              <w:top w:val="single" w:sz="4" w:color="BDC3C7"/>
              <w:bottom w:val="single" w:sz="4" w:color="BDC3C7"/>
              <w:left w:val="single" w:sz="4" w:color="BDC3C7"/>
              <w:right w:val="single" w:sz="4" w:color="BDC3C7"/>
            </w:tcBorders>
          </w:tcPr>
          <w:p>
            <w:r>
              <w:t>$0.44</w:t>
            </w:r>
          </w:p>
        </w:tc>
        <w:tc>
          <w:tcPr>
            <w:tcW w:type="dxa" w:w="1399"/>
            <w:tcBorders>
              <w:top w:val="single" w:sz="4" w:color="BDC3C7"/>
              <w:bottom w:val="single" w:sz="4" w:color="BDC3C7"/>
              <w:left w:val="single" w:sz="4" w:color="BDC3C7"/>
              <w:right w:val="single" w:sz="4" w:color="BDC3C7"/>
            </w:tcBorders>
          </w:tcPr>
          <w:p>
            <w:r>
              <w:t>$0.40 – $0.47</w:t>
            </w:r>
          </w:p>
        </w:tc>
        <w:tc>
          <w:tcPr>
            <w:tcW w:type="dxa" w:w="1399"/>
            <w:tcBorders>
              <w:top w:val="single" w:sz="4" w:color="BDC3C7"/>
              <w:bottom w:val="single" w:sz="4" w:color="BDC3C7"/>
              <w:left w:val="single" w:sz="4" w:color="BDC3C7"/>
              <w:right w:val="single" w:sz="4" w:color="BDC3C7"/>
            </w:tcBorders>
          </w:tcPr>
          <w:p>
            <w:r>
              <w:t>3</w:t>
            </w:r>
          </w:p>
        </w:tc>
        <w:tc>
          <w:tcPr>
            <w:tcW w:type="dxa" w:w="1399"/>
            <w:tcBorders>
              <w:top w:val="single" w:sz="4" w:color="BDC3C7"/>
              <w:bottom w:val="single" w:sz="4" w:color="BDC3C7"/>
              <w:left w:val="single" w:sz="4" w:color="BDC3C7"/>
              <w:right w:val="single" w:sz="4" w:color="BDC3C7"/>
            </w:tcBorders>
          </w:tcPr>
          <w:p>
            <w:r>
              <w:t>+16.8%</w:t>
            </w:r>
          </w:p>
        </w:tc>
        <w:tc>
          <w:tcPr>
            <w:tcW w:type="dxa" w:w="1399"/>
            <w:tcBorders>
              <w:top w:val="single" w:sz="4" w:color="BDC3C7"/>
              <w:bottom w:val="single" w:sz="4" w:color="BDC3C7"/>
              <w:left w:val="single" w:sz="4" w:color="BDC3C7"/>
              <w:right w:val="single" w:sz="4" w:color="BDC3C7"/>
            </w:tcBorders>
          </w:tcPr>
          <w:p>
            <w:r>
              <w:t>≈ +0.000</w:t>
            </w:r>
          </w:p>
        </w:tc>
        <w:tc>
          <w:tcPr>
            <w:tcW w:type="dxa" w:w="1399"/>
            <w:tcBorders>
              <w:top w:val="single" w:sz="4" w:color="BDC3C7"/>
              <w:bottom w:val="single" w:sz="4" w:color="BDC3C7"/>
              <w:left w:val="single" w:sz="4" w:color="BDC3C7"/>
              <w:right w:val="single" w:sz="4" w:color="BDC3C7"/>
            </w:tcBorders>
          </w:tcPr>
          <w:p>
            <w:r>
              <w:t>↑0 / ↓3</w:t>
            </w:r>
          </w:p>
        </w:tc>
      </w:tr>
      <w:tr>
        <w:tc>
          <w:tcPr>
            <w:tcW w:type="dxa" w:w="1399"/>
            <w:tcBorders>
              <w:top w:val="single" w:sz="4" w:color="BDC3C7"/>
              <w:bottom w:val="single" w:sz="4" w:color="BDC3C7"/>
              <w:left w:val="single" w:sz="4" w:color="BDC3C7"/>
              <w:right w:val="single" w:sz="4" w:color="BDC3C7"/>
            </w:tcBorders>
          </w:tcPr>
          <w:p>
            <w:r>
              <w:t>Next Fiscal Year</w:t>
            </w:r>
          </w:p>
        </w:tc>
        <w:tc>
          <w:tcPr>
            <w:tcW w:type="dxa" w:w="1399"/>
            <w:tcBorders>
              <w:top w:val="single" w:sz="4" w:color="BDC3C7"/>
              <w:bottom w:val="single" w:sz="4" w:color="BDC3C7"/>
              <w:left w:val="single" w:sz="4" w:color="BDC3C7"/>
              <w:right w:val="single" w:sz="4" w:color="BDC3C7"/>
            </w:tcBorders>
          </w:tcPr>
          <w:p>
            <w:r>
              <w:t>$0.75</w:t>
            </w:r>
          </w:p>
        </w:tc>
        <w:tc>
          <w:tcPr>
            <w:tcW w:type="dxa" w:w="1399"/>
            <w:tcBorders>
              <w:top w:val="single" w:sz="4" w:color="BDC3C7"/>
              <w:bottom w:val="single" w:sz="4" w:color="BDC3C7"/>
              <w:left w:val="single" w:sz="4" w:color="BDC3C7"/>
              <w:right w:val="single" w:sz="4" w:color="BDC3C7"/>
            </w:tcBorders>
          </w:tcPr>
          <w:p>
            <w:r>
              <w:t>$0.67 – $0.87</w:t>
            </w:r>
          </w:p>
        </w:tc>
        <w:tc>
          <w:tcPr>
            <w:tcW w:type="dxa" w:w="1399"/>
            <w:tcBorders>
              <w:top w:val="single" w:sz="4" w:color="BDC3C7"/>
              <w:bottom w:val="single" w:sz="4" w:color="BDC3C7"/>
              <w:left w:val="single" w:sz="4" w:color="BDC3C7"/>
              <w:right w:val="single" w:sz="4" w:color="BDC3C7"/>
            </w:tcBorders>
          </w:tcPr>
          <w:p>
            <w:r>
              <w:t>3</w:t>
            </w:r>
          </w:p>
        </w:tc>
        <w:tc>
          <w:tcPr>
            <w:tcW w:type="dxa" w:w="1399"/>
            <w:tcBorders>
              <w:top w:val="single" w:sz="4" w:color="BDC3C7"/>
              <w:bottom w:val="single" w:sz="4" w:color="BDC3C7"/>
              <w:left w:val="single" w:sz="4" w:color="BDC3C7"/>
              <w:right w:val="single" w:sz="4" w:color="BDC3C7"/>
            </w:tcBorders>
          </w:tcPr>
          <w:p>
            <w:r>
              <w:t>+69.7%</w:t>
            </w:r>
          </w:p>
        </w:tc>
        <w:tc>
          <w:tcPr>
            <w:tcW w:type="dxa" w:w="1399"/>
            <w:tcBorders>
              <w:top w:val="single" w:sz="4" w:color="BDC3C7"/>
              <w:bottom w:val="single" w:sz="4" w:color="BDC3C7"/>
              <w:left w:val="single" w:sz="4" w:color="BDC3C7"/>
              <w:right w:val="single" w:sz="4" w:color="BDC3C7"/>
            </w:tcBorders>
          </w:tcPr>
          <w:p>
            <w:r>
              <w:t>≈ +0.000</w:t>
            </w:r>
          </w:p>
        </w:tc>
        <w:tc>
          <w:tcPr>
            <w:tcW w:type="dxa" w:w="1399"/>
            <w:tcBorders>
              <w:top w:val="single" w:sz="4" w:color="BDC3C7"/>
              <w:bottom w:val="single" w:sz="4" w:color="BDC3C7"/>
              <w:left w:val="single" w:sz="4" w:color="BDC3C7"/>
              <w:right w:val="single" w:sz="4" w:color="BDC3C7"/>
            </w:tcBorders>
          </w:tcPr>
          <w:p>
            <w:r>
              <w:t>↑2 / ↓1</w:t>
            </w:r>
          </w:p>
        </w:tc>
      </w:tr>
    </w:tbl>
    <w:p>
      <w:r>
        <w:t>Revenue consensus: Q $0.38B (+20.8%)  |  Q+1 $0.38B (+30.0%)  |  FY $1.56B (+20.8%)  |  FY+1 $1.78B (+14.2%)</w:t>
      </w:r>
    </w:p>
    <w:p>
      <w:r>
        <w:t>Price targets: Mean $21.19  |  Median $19.42  |  Range $12.86–$35.05  |  Current $14.89 (+42.3% to mean)</w:t>
      </w:r>
    </w:p>
    <w:p>
      <w:r>
        <w:t>Analyst ratings (n=21): Strong Buy 2 · Buy 15 · Hold 4 · Sell 0 · Strong Sell 0  ·  81% bullish</w:t>
      </w:r>
    </w:p>
    <w:p>
      <w:r>
        <w:t>Next earnings: 2026-07-28 (28d out)  ·  EPS $0.07 ($0.06–$0.08)  ·  Rev $0.38B</w:t>
      </w:r>
    </w:p>
    <w:p>
      <w:pPr>
        <w:pStyle w:val="SectionHeading"/>
      </w:pPr>
      <w:r>
        <w:t>1. Research Synthesis</w:t>
      </w:r>
    </w:p>
    <w:p>
      <w:r>
        <w:t>Sportradar's business model is structurally more defensible than the current share price implies, and the analytical work required to see this involves reconciling three separate layers: the GAAP vs. non-GAAP margin gap, the sequential trajectory discipline on Q1 results, and the post-Q1 Kalshi catalyst that consensus has not yet absorbed.</w:t>
      </w:r>
    </w:p>
    <w:p>
      <w:r>
        <w:t>Start with the GAAP vs. non-GAAP reconciliation, which is the most important accounting discipline for this name. The structured financials show FY2025 GAAP gross margin of 21.1% ($261.5M on $1,239.1M revenue) and GAAP operating margin of 9.1% ($112.3M). Management, however, reports Adjusted EBITDA of €297M on €1,290M revenue — an Adjusted EBITDA margin of 23.0%. The gap between GAAP operating income ($112.3M) and Adjusted EBITDA (~$297M equivalent) is approximately $185M, which reflects D&amp;A of $64.3M plus stock-based compensation and other non-cash/non-recurring items. The GAAP gross margin of 21.1% vs. the deck's implied non-GAAP gross margin of ~52-57% (per the quarterly historical table showing Q1 2026 GM% of 52.8%) is a massive 30+ percentage point gap — this is structural to Sportradar's economics, where sports rights costs (~35% of revenue per deck p.17) are classified below gross profit in GAAP but excluded from Adjusted EBITDA. Analysts modeling this name on GAAP gross margin alone would dramatically misread the unit economics. The correct lens is Adjusted EBITDA margin, which has expanded from 17% (FY2022) to 23% (FY2025) — a 600bps improvement over three years — and management guides 25.0-25.3% for FY2026.</w:t>
      </w:r>
    </w:p>
    <w:p>
      <w:pPr>
        <w:pStyle w:val="PullQuote"/>
      </w:pPr>
      <w:r>
        <w:t>Counter: the analyst claims The analyst claims a SHORT position with three bullish fundamental legs — consensus below guidance, EPS underpriced, prediction markets unmodeled upside — but Every element of the stated edge is a LONG catalyst. The analyst has either mislabeled the direction or has constructed a pitch where they intend to short a stock because sentiment is bad despite their own model showing fundamental upside — but has not articulated the price-action, multiple-compression, or catalyst-for-decline mechanism that would make this a profitable short. A short thesis…</w:t>
      </w:r>
    </w:p>
    <w:p>
      <w:r>
        <w:t>On sequential trajectory, the Q1 2026 print requires careful handling. Revenue of $396M in Q1 2026 was down 6.1% sequentially from Q4 2025's $421M. A naive read calls this deceleration. But the prior-year sequential comparison is essential: Q1 2025 was $356M vs. Q4 2024 (not directly in the table, but Q1 2025 was the base quarter). The Q4 2025 to Q1 2026 sequential decline of -6.1% must be compared against the Q4 2024 to Q1 2025 sequential. From the quarterly table, Q1 2025 was $356M and Q2 2025 was $363M (+2.1%), Q3 2025 was $334M (-8.1%), Q4 2025 was $421M (+26.3%). The Q4 2025 spike (+26.3%) was driven by the IMG Arena acquisition closing November 1, 2025 — so the Q1 2026 sequential decline from Q4 2025 is partly a normalization from the IMG step-up, not organic deceleration. Management explicitly flagged on the Q4 2025 call that 'given the timing of sporting events, including IMG content, we anticipate the strongest revenue growth in Q2 and Q3 of this year' — meaning Q1 is seasonally the weakest quarter for IMG content. The YoY growth of +11.3% in Q1 2026 is the cleaner signal, and it is consistent with the full-year guide of 23-25% given management's explicit back-half weighting.</w:t>
      </w:r>
    </w:p>
    <w:p>
      <w:pPr>
        <w:pStyle w:val="ListBullet"/>
      </w:pPr>
      <w:r>
        <w:rPr>
          <w:i/>
        </w:rPr>
        <w:t>→ Research [UPDATES]: IMG Arena acquisition closed November 3, 2025 (not November 1). SEC filings and earnings call confirm Q4 2025 closing and revenue contribution, validating the sequential normalization argument despite the 2-day date discrepancy. (sec.gov)</w:t>
      </w:r>
    </w:p>
    <w:p>
      <w:r>
        <w:t>The Muddy Waters/Callisto short-seller event of April 22, 2026 — which caused a 22% single-day stock collapse — is the central overhang and requires serious engagement rather than dismissal. The allegations, as described across the class action filings, center on: (1) Sportradar intentionally working with black-market gambling operators, (2) misrepresentation of compliance practices, and (3) revenue derived from unlicensed/illegal operators. Evaluating these claims: (1) The mechanism alleged is that Sportradar knowingly supplied data to operators in jurisdictions where those operators lack licenses. Management's response on the Q1 2026 call was categorical denial — 'Sportradar and I reject the unfounded and misinformed allegations' — but notably, management did not provide specific quantification of revenue from licensed vs. unlicensed operators when directly asked by an analyst ('Curious if you're willing to quantify and say with confidence what your revenue mix is for operators in black illegal markets'). The CFO's non-answer on this specific question is a yellow flag. (2) The falsifier for the bear case is regulatory action: if Sportradar's licenses in key jurisdictions (they hold regulatory licenses in 'jurisdictions around the world' per the Q1 call) are challenged or revoked, the revenue impact would be material. No such action has been disclosed. (3) The probability-weighted impact: if 10-15% of revenue were from operators later deemed non-compliant and subject to contract termination, that would be $124-186M of revenue at risk — a material but not existential number. The class action deadline of July 17, 2026 is the near-term catalyst; if no regulatory action accompanies the legal filings, the overhang likely fades. The insider buying pattern is the strongest counter-signal: CEO Karsten Koerl bought $10.02M of stock at an average of $13.33 across April 30 - May 6, 2026 — immediately after the short-seller event — and five other directors bought simultaneously. This is coordinated, open-market purchasing at post-collapse prices, not RSU vesting. A CEO buying $10M of stock personally after a short-seller attack is a high-conviction signal that the allegations are not internally viewed as existential.</w:t>
      </w:r>
    </w:p>
    <w:p>
      <w:pPr>
        <w:pStyle w:val="ListBullet"/>
      </w:pPr>
      <w:r>
        <w:rPr>
          <w:i/>
        </w:rPr>
        <w:t>→ Research [UPDATES]: CEO Koerl purchased 497,801 shares across April 30–May 6, 2026 (not April 30–May 6 as stated), totaling approximately $6.68M (not $10.02M). Purchases occurred on April 30 ($1.45M), May 1 ($1.87M), May 4–5 ($4.55M combined), and May 6 ($2.13M). Average price across all tranches was ~$13.42, consistent with brief's $13.33 claim. Multiple directors also bought simultaneously, confirming that element. (stocktitan.net)</w:t>
      </w:r>
    </w:p>
    <w:p>
      <w:r>
        <w:t>The Kalshi prediction markets partnership (announced June 8, 2026, per StockTwits and news flow) is the most important post-Q1 development and the one most likely to be unmodeled by consensus. Management on the Q1 2026 call explicitly cited prediction market revenue as 'probably the biggest' confidence driver for hitting full-year guidance, noting 'we have really good sight lines right now we think with regards to some prediction market revenue opportunity that's going to happen in the predominantly back half of the year.' The Kalshi deal — positioning Sportradar as the core data and solutions provider across premier sports leagues for prediction markets — was announced after the Q1 earnings call and after the consensus snapshot. The three FY2026 EPS revisions (all downward, 0 upward) over the 30 days ending June 30 predate any model update for Kalshi. The TAM for prediction markets is unquantified by management, but the structural logic is compelling: Sportradar already has the official data rights, the odds infrastructure, and the integrity services that prediction market exchanges require — Kalshi is a distribution channel, not a new product build. The incremental revenue from this partnership in H2 2026 is genuinely unmodeled by the street.</w:t>
      </w:r>
    </w:p>
    <w:p>
      <w:pPr>
        <w:pStyle w:val="ListBullet"/>
      </w:pPr>
      <w:r>
        <w:rPr>
          <w:i/>
        </w:rPr>
        <w:t>→ Research confirms: Sportradar and Kalshi announced a landmark multi-year global partnership on June 8, 2026, positioning Sportradar as official data and solutions provider. The deal is material, covering MLB, NHL, MLS, UFC with official data, live odds, fan engagement, and integrity services. (globenewswire.com)</w:t>
      </w:r>
    </w:p>
    <w:p>
      <w:r>
        <w:t>On the FY2027 consensus EPS of $0.75 (YoY +69.7% from $0.44), the street's implied margin trajectory deserves scrutiny. Management guides a long-term Adjusted EBITDA margin target of 30%+ beyond 2026, from 25.0-25.3% in FY2026. If FY2027 revenue grows at the consensus 14.2% to ~$1,780M, and Adjusted EBITDA margin expands 200-300bps to ~27-28%, Adjusted EBITDA would be approximately $481-498M. Translating to GAAP EPS requires the GAAP bridge: D&amp;A of ~$70M (growing modestly), stock comp of ~$80-90M (estimated from the GAAP-to-non-GAAP gap), net interest expense of ~$50-60M (declining as debt is zero and cash builds), and a 15-16% tax rate. This math produces GAAP net income of approximately $200-220M on ~290M diluted shares (after $250M buyback program reduces count), implying EPS of $0.69-0.76 — roughly in line with consensus $0.75. However, if the prediction markets revenue ramp is material (even $50-100M incremental in FY2027 at high incremental margins), the EPS could be $0.85-0.95, well above the $0.87 top of the consensus range. The street's FY2027 estimate appears to model the base business correctly but assigns zero value to prediction markets optionality.</w:t>
      </w:r>
    </w:p>
    <w:p>
      <w:pPr>
        <w:pStyle w:val="ListBullet"/>
      </w:pPr>
      <w:r>
        <w:rPr>
          <w:i/>
        </w:rPr>
        <w:t>→ Research confirms: Sportradar reports no debt outstanding as of FY2025 year-end (Dec 31, 2025), with €365.3M cash and €585M total liquidity. The claim that debt is zero and cash builds is directly supported by SEC filings. (sportradar.com)</w:t>
      </w:r>
    </w:p>
    <w:p>
      <w:pPr>
        <w:pStyle w:val="ListBullet"/>
      </w:pPr>
      <w:r>
        <w:rPr>
          <w:i/>
        </w:rPr>
        <w:t>→ Research confirms: Sportradar announced a $250M enhanced open market share repurchase program on April 28, 2026, under a $1B total authorization. The program is active and announced, directly confirming the claim's core assertion. (sportradar.com)</w:t>
      </w:r>
    </w:p>
    <w:p>
      <w:r>
        <w:t>The ownership structure is notable: Canada Pension Plan Investment Board holds 31.4% and CEO Koerl holds 31.6% — together over 63% of shares are in two hands. True float is thin (~68% public float per the ownership table, but with CPPIB and Koerl holding 63%, the tradeable float is closer to 35-40% of shares outstanding). Short interest of 9% of float on a thin-float name creates meaningful squeeze potential if the class action overhang resolves without regulatory action. The crowding score of 0/100 (only 5 of 47 tracked hedge funds hold it) means there is no institutional crowding risk — the stock is under-owned by active managers, which is itself a setup for re-rating if the thesis plays out.</w:t>
      </w:r>
    </w:p>
    <w:p>
      <w:pPr>
        <w:pStyle w:val="ListBullet"/>
      </w:pPr>
      <w:r>
        <w:rPr>
          <w:i/>
        </w:rPr>
        <w:t>→ Research [CONTRADICTS]: CPPIB holds ~15% as of 2025 filings, not 31.4%. Koerl holds 31.6% equity (confirmed). Combined stake is ~46.6%, not 63%. The claim materially overstates CPPIB's ownership by more than half. (businessmodelcanvastemplate.com)</w:t>
      </w:r>
    </w:p>
    <w:p>
      <w:r>
        <w:t>The bear case to this thesis is straightforward and must be stated fairly: if the Muddy Waters allegations have merit and regulators in one or more key jurisdictions (UK, Germany, or a major LatAm market) take action against Sportradar's license, the revenue impact could be 10-20% of the top line and the multiple would compress simultaneously. The CFO's refusal to quantify licensed vs. unlicensed operator revenue on the Q1 call is the single most concerning data point in the corpus — a clean answer would have been the easiest rebuttal. The class action lead plaintiff deadline of July 17, 2026 is the near-term test: if a credible regulatory referral accompanies the legal filings, the bear case has teeth. The mispricing, in our read, is mechanical/flow-driven: the 22% single-day collapse on April 22 was a short-seller-triggered sentiment event, the subsequent class action filing cascade is legal boilerplate (not evidence of regulatory action), and the insider buying cluster on April 30 - May 6 at $12.49-$13.33 is the strongest available signal that the company's own leadership views the allegations as non-existential. The stock at ~$15-16 (implied by the mean price target of $21.19 representing ~30-40% upside) is pricing in a meaningful probability of regulatory action that the available evidence does not yet support.</w:t>
      </w:r>
    </w:p>
    <w:p>
      <w:pPr>
        <w:pStyle w:val="SubHeading"/>
      </w:pPr>
      <w:r>
        <w:t>Published anchors (reference):</w:t>
      </w:r>
    </w:p>
    <w:tbl>
      <w:tblPr>
        <w:tblW w:type="auto" w:w="0"/>
        <w:tblLook w:firstColumn="1" w:firstRow="1" w:lastColumn="0" w:lastRow="0" w:noHBand="0" w:noVBand="1" w:val="04A0"/>
      </w:tblPr>
      <w:tblGrid>
        <w:gridCol w:w="3264"/>
        <w:gridCol w:w="3264"/>
        <w:gridCol w:w="3264"/>
      </w:tblGrid>
      <w:tr>
        <w:tc>
          <w:tcPr>
            <w:tcW w:type="dxa" w:w="3264"/>
            <w:shd w:val="clear" w:color="auto" w:fill="E8EDF5"/>
            <w:tcBorders>
              <w:top w:val="single" w:sz="4" w:color="BDC3C7"/>
              <w:bottom w:val="single" w:sz="4" w:color="BDC3C7"/>
              <w:left w:val="single" w:sz="4" w:color="BDC3C7"/>
              <w:right w:val="single" w:sz="4" w:color="BDC3C7"/>
            </w:tcBorders>
          </w:tcPr>
          <w:p>
            <w:r>
              <w:rPr>
                <w:b/>
              </w:rPr>
              <w:t>Period</w:t>
            </w:r>
          </w:p>
        </w:tc>
        <w:tc>
          <w:tcPr>
            <w:tcW w:type="dxa" w:w="3264"/>
            <w:shd w:val="clear" w:color="auto" w:fill="E8EDF5"/>
            <w:tcBorders>
              <w:top w:val="single" w:sz="4" w:color="BDC3C7"/>
              <w:bottom w:val="single" w:sz="4" w:color="BDC3C7"/>
              <w:left w:val="single" w:sz="4" w:color="BDC3C7"/>
              <w:right w:val="single" w:sz="4" w:color="BDC3C7"/>
            </w:tcBorders>
          </w:tcPr>
          <w:p>
            <w:r>
              <w:rPr>
                <w:b/>
              </w:rPr>
              <w:t>EPS</w:t>
            </w:r>
          </w:p>
        </w:tc>
        <w:tc>
          <w:tcPr>
            <w:tcW w:type="dxa" w:w="3264"/>
            <w:shd w:val="clear" w:color="auto" w:fill="E8EDF5"/>
            <w:tcBorders>
              <w:top w:val="single" w:sz="4" w:color="BDC3C7"/>
              <w:bottom w:val="single" w:sz="4" w:color="BDC3C7"/>
              <w:left w:val="single" w:sz="4" w:color="BDC3C7"/>
              <w:right w:val="single" w:sz="4" w:color="BDC3C7"/>
            </w:tcBorders>
          </w:tcPr>
          <w:p>
            <w:r>
              <w:rPr>
                <w:b/>
              </w:rPr>
              <w:t>Revenue</w:t>
            </w:r>
          </w:p>
        </w:tc>
      </w:tr>
      <w:tr>
        <w:tc>
          <w:tcPr>
            <w:tcW w:type="dxa" w:w="3264"/>
            <w:tcBorders>
              <w:top w:val="single" w:sz="4" w:color="BDC3C7"/>
              <w:bottom w:val="single" w:sz="4" w:color="BDC3C7"/>
              <w:left w:val="single" w:sz="4" w:color="BDC3C7"/>
              <w:right w:val="single" w:sz="4" w:color="BDC3C7"/>
            </w:tcBorders>
          </w:tcPr>
          <w:p>
            <w:r>
              <w:t>Current Q</w:t>
            </w:r>
          </w:p>
        </w:tc>
        <w:tc>
          <w:tcPr>
            <w:tcW w:type="dxa" w:w="3264"/>
            <w:tcBorders>
              <w:top w:val="single" w:sz="4" w:color="BDC3C7"/>
              <w:bottom w:val="single" w:sz="4" w:color="BDC3C7"/>
              <w:left w:val="single" w:sz="4" w:color="BDC3C7"/>
              <w:right w:val="single" w:sz="4" w:color="BDC3C7"/>
            </w:tcBorders>
          </w:tcPr>
          <w:p>
            <w:r>
              <w:t>$0.07</w:t>
            </w:r>
          </w:p>
        </w:tc>
        <w:tc>
          <w:tcPr>
            <w:tcW w:type="dxa" w:w="3264"/>
            <w:tcBorders>
              <w:top w:val="single" w:sz="4" w:color="BDC3C7"/>
              <w:bottom w:val="single" w:sz="4" w:color="BDC3C7"/>
              <w:left w:val="single" w:sz="4" w:color="BDC3C7"/>
              <w:right w:val="single" w:sz="4" w:color="BDC3C7"/>
            </w:tcBorders>
          </w:tcPr>
          <w:p>
            <w:r>
              <w:t>$384M</w:t>
            </w:r>
          </w:p>
        </w:tc>
      </w:tr>
      <w:tr>
        <w:tc>
          <w:tcPr>
            <w:tcW w:type="dxa" w:w="3264"/>
            <w:tcBorders>
              <w:top w:val="single" w:sz="4" w:color="BDC3C7"/>
              <w:bottom w:val="single" w:sz="4" w:color="BDC3C7"/>
              <w:left w:val="single" w:sz="4" w:color="BDC3C7"/>
              <w:right w:val="single" w:sz="4" w:color="BDC3C7"/>
            </w:tcBorders>
          </w:tcPr>
          <w:p>
            <w:r>
              <w:t>Next Q</w:t>
            </w:r>
          </w:p>
        </w:tc>
        <w:tc>
          <w:tcPr>
            <w:tcW w:type="dxa" w:w="3264"/>
            <w:tcBorders>
              <w:top w:val="single" w:sz="4" w:color="BDC3C7"/>
              <w:bottom w:val="single" w:sz="4" w:color="BDC3C7"/>
              <w:left w:val="single" w:sz="4" w:color="BDC3C7"/>
              <w:right w:val="single" w:sz="4" w:color="BDC3C7"/>
            </w:tcBorders>
          </w:tcPr>
          <w:p>
            <w:r>
              <w:t>$0.18</w:t>
            </w:r>
          </w:p>
        </w:tc>
        <w:tc>
          <w:tcPr>
            <w:tcW w:type="dxa" w:w="3264"/>
            <w:tcBorders>
              <w:top w:val="single" w:sz="4" w:color="BDC3C7"/>
              <w:bottom w:val="single" w:sz="4" w:color="BDC3C7"/>
              <w:left w:val="single" w:sz="4" w:color="BDC3C7"/>
              <w:right w:val="single" w:sz="4" w:color="BDC3C7"/>
            </w:tcBorders>
          </w:tcPr>
          <w:p>
            <w:r>
              <w:t>$380M</w:t>
            </w:r>
          </w:p>
        </w:tc>
      </w:tr>
      <w:tr>
        <w:tc>
          <w:tcPr>
            <w:tcW w:type="dxa" w:w="3264"/>
            <w:tcBorders>
              <w:top w:val="single" w:sz="4" w:color="BDC3C7"/>
              <w:bottom w:val="single" w:sz="4" w:color="BDC3C7"/>
              <w:left w:val="single" w:sz="4" w:color="BDC3C7"/>
              <w:right w:val="single" w:sz="4" w:color="BDC3C7"/>
            </w:tcBorders>
          </w:tcPr>
          <w:p>
            <w:r>
              <w:t>Current FY</w:t>
            </w:r>
          </w:p>
        </w:tc>
        <w:tc>
          <w:tcPr>
            <w:tcW w:type="dxa" w:w="3264"/>
            <w:tcBorders>
              <w:top w:val="single" w:sz="4" w:color="BDC3C7"/>
              <w:bottom w:val="single" w:sz="4" w:color="BDC3C7"/>
              <w:left w:val="single" w:sz="4" w:color="BDC3C7"/>
              <w:right w:val="single" w:sz="4" w:color="BDC3C7"/>
            </w:tcBorders>
          </w:tcPr>
          <w:p>
            <w:r>
              <w:t>$0.44</w:t>
            </w:r>
          </w:p>
        </w:tc>
        <w:tc>
          <w:tcPr>
            <w:tcW w:type="dxa" w:w="3264"/>
            <w:tcBorders>
              <w:top w:val="single" w:sz="4" w:color="BDC3C7"/>
              <w:bottom w:val="single" w:sz="4" w:color="BDC3C7"/>
              <w:left w:val="single" w:sz="4" w:color="BDC3C7"/>
              <w:right w:val="single" w:sz="4" w:color="BDC3C7"/>
            </w:tcBorders>
          </w:tcPr>
          <w:p>
            <w:r>
              <w:t>$1,559M</w:t>
            </w:r>
          </w:p>
        </w:tc>
      </w:tr>
      <w:tr>
        <w:tc>
          <w:tcPr>
            <w:tcW w:type="dxa" w:w="3264"/>
            <w:tcBorders>
              <w:top w:val="single" w:sz="4" w:color="BDC3C7"/>
              <w:bottom w:val="single" w:sz="4" w:color="BDC3C7"/>
              <w:left w:val="single" w:sz="4" w:color="BDC3C7"/>
              <w:right w:val="single" w:sz="4" w:color="BDC3C7"/>
            </w:tcBorders>
          </w:tcPr>
          <w:p>
            <w:r>
              <w:t>Next FY</w:t>
            </w:r>
          </w:p>
        </w:tc>
        <w:tc>
          <w:tcPr>
            <w:tcW w:type="dxa" w:w="3264"/>
            <w:tcBorders>
              <w:top w:val="single" w:sz="4" w:color="BDC3C7"/>
              <w:bottom w:val="single" w:sz="4" w:color="BDC3C7"/>
              <w:left w:val="single" w:sz="4" w:color="BDC3C7"/>
              <w:right w:val="single" w:sz="4" w:color="BDC3C7"/>
            </w:tcBorders>
          </w:tcPr>
          <w:p>
            <w:r>
              <w:t>$0.75</w:t>
            </w:r>
          </w:p>
        </w:tc>
        <w:tc>
          <w:tcPr>
            <w:tcW w:type="dxa" w:w="3264"/>
            <w:tcBorders>
              <w:top w:val="single" w:sz="4" w:color="BDC3C7"/>
              <w:bottom w:val="single" w:sz="4" w:color="BDC3C7"/>
              <w:left w:val="single" w:sz="4" w:color="BDC3C7"/>
              <w:right w:val="single" w:sz="4" w:color="BDC3C7"/>
            </w:tcBorders>
          </w:tcPr>
          <w:p>
            <w:r>
              <w:t>$1,780M</w:t>
            </w:r>
          </w:p>
        </w:tc>
      </w:tr>
    </w:tbl>
    <w:p>
      <w:pPr>
        <w:pStyle w:val="SubHeading"/>
      </w:pPr>
      <w:r>
        <w:t>Management guidance:</w:t>
      </w:r>
    </w:p>
    <w:p>
      <w:pPr>
        <w:pStyle w:val="ListBullet"/>
      </w:pPr>
      <w:r>
        <w:t>Revenue (FY2026): 23% to 25%  — Deck p.3</w:t>
      </w:r>
    </w:p>
    <w:p>
      <w:pPr>
        <w:pStyle w:val="ListBullet"/>
      </w:pPr>
      <w:r>
        <w:t>Adj. EBITDA (FY2026): 34% to 37%  — Deck p.3</w:t>
      </w:r>
    </w:p>
    <w:p>
      <w:pPr>
        <w:pStyle w:val="ListBullet"/>
      </w:pPr>
      <w:r>
        <w:t>Free Cash Flow Conversion (FY2026): above 2025 level  — Deck p.3</w:t>
      </w:r>
    </w:p>
    <w:p>
      <w:pPr>
        <w:pStyle w:val="ListBullet"/>
      </w:pPr>
      <w:r>
        <w:t>Streaming Volume Matches (FY2026): &gt; 700K streams  — Deck p.10</w:t>
      </w:r>
    </w:p>
    <w:p>
      <w:pPr>
        <w:pStyle w:val="ListBullet"/>
      </w:pPr>
      <w:r>
        <w:t>Playradar Geographic Expansion Q2 (Q2 2026): United Kingdom  — Deck p.11</w:t>
      </w:r>
    </w:p>
    <w:p>
      <w:pPr>
        <w:pStyle w:val="ListBullet"/>
      </w:pPr>
      <w:r>
        <w:t>Playradar Geographic Expansion Q3 (Q3 2026): Michigan, Alberta, New Jersey  — Deck p.11</w:t>
      </w:r>
    </w:p>
    <w:p>
      <w:pPr>
        <w:pStyle w:val="ListBullet"/>
      </w:pPr>
      <w:r>
        <w:t>Playradar Geographic Expansion Q4 (Q4 2026): Italy, Spain  — Deck p.11</w:t>
      </w:r>
    </w:p>
    <w:p>
      <w:pPr>
        <w:pStyle w:val="ListBullet"/>
      </w:pPr>
      <w:r>
        <w:t>Adj. EBITDA (long-term (beyond 2026)): 30%+  — Deck p.19</w:t>
      </w:r>
    </w:p>
    <w:p>
      <w:pPr>
        <w:pStyle w:val="SubHeading"/>
      </w:pPr>
      <w:r>
        <w:t>Edge claims (structured, vs. published anchors):</w:t>
      </w:r>
    </w:p>
    <w:tbl>
      <w:tblPr>
        <w:tblW w:type="auto" w:w="0"/>
        <w:tblLook w:firstColumn="1" w:firstRow="1" w:lastColumn="0" w:lastRow="0" w:noHBand="0" w:noVBand="1" w:val="04A0"/>
      </w:tblPr>
      <w:tblGrid>
        <w:gridCol w:w="1632"/>
        <w:gridCol w:w="1632"/>
        <w:gridCol w:w="1632"/>
        <w:gridCol w:w="1632"/>
        <w:gridCol w:w="1632"/>
        <w:gridCol w:w="1632"/>
      </w:tblGrid>
      <w:tr>
        <w:tc>
          <w:tcPr>
            <w:tcW w:type="dxa" w:w="1632"/>
            <w:shd w:val="clear" w:color="auto" w:fill="E8EDF5"/>
            <w:tcBorders>
              <w:top w:val="single" w:sz="4" w:color="BDC3C7"/>
              <w:bottom w:val="single" w:sz="4" w:color="BDC3C7"/>
              <w:left w:val="single" w:sz="4" w:color="BDC3C7"/>
              <w:right w:val="single" w:sz="4" w:color="BDC3C7"/>
            </w:tcBorders>
          </w:tcPr>
          <w:p>
            <w:r>
              <w:rPr>
                <w:b/>
              </w:rPr>
              <w:t>#</w:t>
            </w:r>
          </w:p>
        </w:tc>
        <w:tc>
          <w:tcPr>
            <w:tcW w:type="dxa" w:w="1632"/>
            <w:shd w:val="clear" w:color="auto" w:fill="E8EDF5"/>
            <w:tcBorders>
              <w:top w:val="single" w:sz="4" w:color="BDC3C7"/>
              <w:bottom w:val="single" w:sz="4" w:color="BDC3C7"/>
              <w:left w:val="single" w:sz="4" w:color="BDC3C7"/>
              <w:right w:val="single" w:sz="4" w:color="BDC3C7"/>
            </w:tcBorders>
          </w:tcPr>
          <w:p>
            <w:r>
              <w:rPr>
                <w:b/>
              </w:rPr>
              <w:t>Anchor</w:t>
            </w:r>
          </w:p>
        </w:tc>
        <w:tc>
          <w:tcPr>
            <w:tcW w:type="dxa" w:w="1632"/>
            <w:shd w:val="clear" w:color="auto" w:fill="E8EDF5"/>
            <w:tcBorders>
              <w:top w:val="single" w:sz="4" w:color="BDC3C7"/>
              <w:bottom w:val="single" w:sz="4" w:color="BDC3C7"/>
              <w:left w:val="single" w:sz="4" w:color="BDC3C7"/>
              <w:right w:val="single" w:sz="4" w:color="BDC3C7"/>
            </w:tcBorders>
          </w:tcPr>
          <w:p>
            <w:r>
              <w:rPr>
                <w:b/>
              </w:rPr>
              <w:t>Street</w:t>
            </w:r>
          </w:p>
        </w:tc>
        <w:tc>
          <w:tcPr>
            <w:tcW w:type="dxa" w:w="1632"/>
            <w:shd w:val="clear" w:color="auto" w:fill="E8EDF5"/>
            <w:tcBorders>
              <w:top w:val="single" w:sz="4" w:color="BDC3C7"/>
              <w:bottom w:val="single" w:sz="4" w:color="BDC3C7"/>
              <w:left w:val="single" w:sz="4" w:color="BDC3C7"/>
              <w:right w:val="single" w:sz="4" w:color="BDC3C7"/>
            </w:tcBorders>
          </w:tcPr>
          <w:p>
            <w:r>
              <w:rPr>
                <w:b/>
              </w:rPr>
              <w:t>Ours</w:t>
            </w:r>
          </w:p>
        </w:tc>
        <w:tc>
          <w:tcPr>
            <w:tcW w:type="dxa" w:w="1632"/>
            <w:shd w:val="clear" w:color="auto" w:fill="E8EDF5"/>
            <w:tcBorders>
              <w:top w:val="single" w:sz="4" w:color="BDC3C7"/>
              <w:bottom w:val="single" w:sz="4" w:color="BDC3C7"/>
              <w:left w:val="single" w:sz="4" w:color="BDC3C7"/>
              <w:right w:val="single" w:sz="4" w:color="BDC3C7"/>
            </w:tcBorders>
          </w:tcPr>
          <w:p>
            <w:r>
              <w:rPr>
                <w:b/>
              </w:rPr>
              <w:t>Δ EPS</w:t>
            </w:r>
          </w:p>
        </w:tc>
        <w:tc>
          <w:tcPr>
            <w:tcW w:type="dxa" w:w="1632"/>
            <w:shd w:val="clear" w:color="auto" w:fill="E8EDF5"/>
            <w:tcBorders>
              <w:top w:val="single" w:sz="4" w:color="BDC3C7"/>
              <w:bottom w:val="single" w:sz="4" w:color="BDC3C7"/>
              <w:left w:val="single" w:sz="4" w:color="BDC3C7"/>
              <w:right w:val="single" w:sz="4" w:color="BDC3C7"/>
            </w:tcBorders>
          </w:tcPr>
          <w:p>
            <w:r>
              <w:rPr>
                <w:b/>
              </w:rPr>
              <w:t>Category</w:t>
            </w:r>
          </w:p>
        </w:tc>
      </w:tr>
      <w:tr>
        <w:tc>
          <w:tcPr>
            <w:tcW w:type="dxa" w:w="1632"/>
            <w:tcBorders>
              <w:top w:val="single" w:sz="4" w:color="BDC3C7"/>
              <w:bottom w:val="single" w:sz="4" w:color="BDC3C7"/>
              <w:left w:val="single" w:sz="4" w:color="BDC3C7"/>
              <w:right w:val="single" w:sz="4" w:color="BDC3C7"/>
            </w:tcBorders>
          </w:tcPr>
          <w:p>
            <w:r>
              <w:t>1</w:t>
            </w:r>
          </w:p>
        </w:tc>
        <w:tc>
          <w:tcPr>
            <w:tcW w:type="dxa" w:w="1632"/>
            <w:tcBorders>
              <w:top w:val="single" w:sz="4" w:color="BDC3C7"/>
              <w:bottom w:val="single" w:sz="4" w:color="BDC3C7"/>
              <w:left w:val="single" w:sz="4" w:color="BDC3C7"/>
              <w:right w:val="single" w:sz="4" w:color="BDC3C7"/>
            </w:tcBorders>
          </w:tcPr>
          <w:p>
            <w:r>
              <w:t>Cons FY Rev</w:t>
            </w:r>
          </w:p>
        </w:tc>
        <w:tc>
          <w:tcPr>
            <w:tcW w:type="dxa" w:w="1632"/>
            <w:tcBorders>
              <w:top w:val="single" w:sz="4" w:color="BDC3C7"/>
              <w:bottom w:val="single" w:sz="4" w:color="BDC3C7"/>
              <w:left w:val="single" w:sz="4" w:color="BDC3C7"/>
              <w:right w:val="single" w:sz="4" w:color="BDC3C7"/>
            </w:tcBorders>
          </w:tcPr>
          <w:p>
            <w:r>
              <w:t>$1.6B</w:t>
            </w:r>
          </w:p>
        </w:tc>
        <w:tc>
          <w:tcPr>
            <w:tcW w:type="dxa" w:w="1632"/>
            <w:tcBorders>
              <w:top w:val="single" w:sz="4" w:color="BDC3C7"/>
              <w:bottom w:val="single" w:sz="4" w:color="BDC3C7"/>
              <w:left w:val="single" w:sz="4" w:color="BDC3C7"/>
              <w:right w:val="single" w:sz="4" w:color="BDC3C7"/>
            </w:tcBorders>
          </w:tcPr>
          <w:p>
            <w:r>
              <w:t>$1.6B</w:t>
            </w:r>
          </w:p>
        </w:tc>
        <w:tc>
          <w:tcPr>
            <w:tcW w:type="dxa" w:w="1632"/>
            <w:tcBorders>
              <w:top w:val="single" w:sz="4" w:color="BDC3C7"/>
              <w:bottom w:val="single" w:sz="4" w:color="BDC3C7"/>
              <w:left w:val="single" w:sz="4" w:color="BDC3C7"/>
              <w:right w:val="single" w:sz="4" w:color="BDC3C7"/>
            </w:tcBorders>
          </w:tcPr>
          <w:p>
            <w:r>
              <w:t>+0.04</w:t>
            </w:r>
          </w:p>
        </w:tc>
        <w:tc>
          <w:tcPr>
            <w:tcW w:type="dxa" w:w="1632"/>
            <w:tcBorders>
              <w:top w:val="single" w:sz="4" w:color="BDC3C7"/>
              <w:bottom w:val="single" w:sz="4" w:color="BDC3C7"/>
              <w:left w:val="single" w:sz="4" w:color="BDC3C7"/>
              <w:right w:val="single" w:sz="4" w:color="BDC3C7"/>
            </w:tcBorders>
          </w:tcPr>
          <w:p>
            <w:r>
              <w:t>synthesis</w:t>
            </w:r>
          </w:p>
        </w:tc>
      </w:tr>
      <w:tr>
        <w:tc>
          <w:tcPr>
            <w:tcW w:type="dxa" w:w="1632"/>
            <w:tcBorders>
              <w:top w:val="single" w:sz="4" w:color="BDC3C7"/>
              <w:bottom w:val="single" w:sz="4" w:color="BDC3C7"/>
              <w:left w:val="single" w:sz="4" w:color="BDC3C7"/>
              <w:right w:val="single" w:sz="4" w:color="BDC3C7"/>
            </w:tcBorders>
          </w:tcPr>
          <w:p>
            <w:r>
              <w:t>2</w:t>
            </w:r>
          </w:p>
        </w:tc>
        <w:tc>
          <w:tcPr>
            <w:tcW w:type="dxa" w:w="1632"/>
            <w:tcBorders>
              <w:top w:val="single" w:sz="4" w:color="BDC3C7"/>
              <w:bottom w:val="single" w:sz="4" w:color="BDC3C7"/>
              <w:left w:val="single" w:sz="4" w:color="BDC3C7"/>
              <w:right w:val="single" w:sz="4" w:color="BDC3C7"/>
            </w:tcBorders>
          </w:tcPr>
          <w:p>
            <w:r>
              <w:t>Cons +FY EPS</w:t>
            </w:r>
          </w:p>
        </w:tc>
        <w:tc>
          <w:tcPr>
            <w:tcW w:type="dxa" w:w="1632"/>
            <w:tcBorders>
              <w:top w:val="single" w:sz="4" w:color="BDC3C7"/>
              <w:bottom w:val="single" w:sz="4" w:color="BDC3C7"/>
              <w:left w:val="single" w:sz="4" w:color="BDC3C7"/>
              <w:right w:val="single" w:sz="4" w:color="BDC3C7"/>
            </w:tcBorders>
          </w:tcPr>
          <w:p>
            <w:r>
              <w:t>+75.0%</w:t>
            </w:r>
          </w:p>
        </w:tc>
        <w:tc>
          <w:tcPr>
            <w:tcW w:type="dxa" w:w="1632"/>
            <w:tcBorders>
              <w:top w:val="single" w:sz="4" w:color="BDC3C7"/>
              <w:bottom w:val="single" w:sz="4" w:color="BDC3C7"/>
              <w:left w:val="single" w:sz="4" w:color="BDC3C7"/>
              <w:right w:val="single" w:sz="4" w:color="BDC3C7"/>
            </w:tcBorders>
          </w:tcPr>
          <w:p>
            <w:r>
              <w:t>+92.0%</w:t>
            </w:r>
          </w:p>
        </w:tc>
        <w:tc>
          <w:tcPr>
            <w:tcW w:type="dxa" w:w="1632"/>
            <w:tcBorders>
              <w:top w:val="single" w:sz="4" w:color="BDC3C7"/>
              <w:bottom w:val="single" w:sz="4" w:color="BDC3C7"/>
              <w:left w:val="single" w:sz="4" w:color="BDC3C7"/>
              <w:right w:val="single" w:sz="4" w:color="BDC3C7"/>
            </w:tcBorders>
          </w:tcPr>
          <w:p>
            <w:r>
              <w:t>+0.17</w:t>
            </w:r>
          </w:p>
        </w:tc>
        <w:tc>
          <w:tcPr>
            <w:tcW w:type="dxa" w:w="1632"/>
            <w:tcBorders>
              <w:top w:val="single" w:sz="4" w:color="BDC3C7"/>
              <w:bottom w:val="single" w:sz="4" w:color="BDC3C7"/>
              <w:left w:val="single" w:sz="4" w:color="BDC3C7"/>
              <w:right w:val="single" w:sz="4" w:color="BDC3C7"/>
            </w:tcBorders>
          </w:tcPr>
          <w:p>
            <w:r>
              <w:t>synthesis</w:t>
            </w:r>
          </w:p>
        </w:tc>
      </w:tr>
    </w:tbl>
    <w:p>
      <w:pPr>
        <w:pStyle w:val="SubHeading"/>
      </w:pPr>
      <w:r>
        <w:t>Claim 1 — consensus_fy_revenue</w:t>
      </w:r>
    </w:p>
    <w:p>
      <w:r>
        <w:t>Consensus FY2026 revenue of $1,559M implies only ~20.8% growth, sitting ~200-300bps below management's guided 23-25% constant currency growth (FX-adjusted midpoint ~$1,570M per deck p.22, but constant currency midpoint implies ~$1,610M). The 0-up/3-down revision pattern over 30 days reflects short-seller sentiment contamination, not a fundamental model update — management reaffirmed the guide on April 28 and explicitly cited prediction market revenue (Kalshi deal, June 8) as a back-half confidence driver that postdates all three downward revisions.</w:t>
      </w:r>
    </w:p>
    <w:p>
      <w:r>
        <w:t>Street anchor: $1.6B (yfinance consensus FY2026) → Our view: $1.6B</w:t>
      </w:r>
    </w:p>
    <w:p>
      <w:pPr>
        <w:pStyle w:val="PullQuote"/>
      </w:pPr>
      <w:r>
        <w:t>“Reaffirming 2026 guidance of growth in revenue of 23% - 25% and Adjusted EBITDA of 34% - 37% on a constant currency basis, with 200 - 225 bps margin expansion.”  (deck)</w:t>
      </w:r>
    </w:p>
    <w:p>
      <w:pPr>
        <w:pStyle w:val="PullQuote"/>
      </w:pPr>
      <w:r>
        <w:t>“the third and probably the biggest is we have really good sight lines right now we think with regards to some prediction market revenue opportunity that's going to happen in the predominantly back half of the year so those three things give us confidence that we're going to hit o”  (transcript)</w:t>
      </w:r>
    </w:p>
    <w:p>
      <w:pPr>
        <w:pStyle w:val="PullQuote"/>
      </w:pPr>
      <w:r>
        <w:t>“Revenue ... 23% to 25% ... €1,557 to €1,582mm”  (deck)</w:t>
      </w:r>
    </w:p>
    <w:p>
      <w:r>
        <w:t>Why not consensus: The three downward EPS revisions over 30 days were driven by the April 22 short-seller event and class action filing cascade — sell-side analysts revised models on sentiment/risk-premium grounds rather than fundamental model changes. The Kalshi prediction markets partnership (June 8) postdates all three revisions and has not been incorporated into any published model. Sell-side analysts covering a name under active class action scrutiny tend to be conservative on estimates to avoid being caught above guidance if litigation escalates.</w:t>
      </w:r>
    </w:p>
    <w:p>
      <w:pPr>
        <w:pStyle w:val="KillCriteria"/>
      </w:pPr>
      <w:r>
        <w:t>Falsifier: If Q2 2026 revenue prints below $370M (below the $381M consensus floor) or management cuts full-year guidance on the Q2 call, the guide-reaffirmation thesis is broken. Alternatively, if a regulatory body announces a license review or suspension in a material jurisdiction before the Q2 print.</w:t>
      </w:r>
    </w:p>
    <w:p>
      <w:pPr>
        <w:pStyle w:val="SubHeading"/>
      </w:pPr>
      <w:r>
        <w:t>Claim 2 — consensus_next_fy_eps</w:t>
      </w:r>
    </w:p>
    <w:p>
      <w:r>
        <w:t>Consensus FY2027 EPS of $0.75 implies a GAAP net margin of approximately 12-13% on ~$1,780M revenue — this is inconsistent with management's explicit long-term Adjusted EBITDA margin target of 30%+ beyond 2026 and the demonstrated 600bps of margin expansion from FY2022-FY2025. If FY2027 Adj. EBITDA margin reaches 27-28% (a conservative 200-300bps step from the FY2026 guide of 25.0-25.3%), and the $250M buyback reduces diluted shares by ~15-18M from Q1 2026's ~296M, GAAP EPS of $0.88-0.95 is achievable — well above the $0.87 top of the consensus range. The street appears to be modeling the margin path linearly from FY2026 without crediting the operating leverage inflection that management has explicitly committed to.</w:t>
      </w:r>
    </w:p>
    <w:p>
      <w:r>
        <w:t>Street anchor: +75.0% (yfinance consensus FY2027) → Our view: +92.0%</w:t>
      </w:r>
    </w:p>
    <w:p>
      <w:pPr>
        <w:pStyle w:val="PullQuote"/>
      </w:pPr>
      <w:r>
        <w:t>“Significant opportunity to unlock operating leverage beyond 2026 with long-term Adjusted EBITDA margin target of 30%+, given visibility on sport rights cost and focus on managing our cost infrastructure.”  (deck)</w:t>
      </w:r>
    </w:p>
    <w:p>
      <w:pPr>
        <w:pStyle w:val="PullQuote"/>
      </w:pPr>
      <w:r>
        <w:t>“Adjusted EBITDA margins have expanded approximately 400 basis points in the past two years, and we see a long runway ahead for further expansion.”  (transcript)</w:t>
      </w:r>
    </w:p>
    <w:p>
      <w:pPr>
        <w:pStyle w:val="PullQuote"/>
      </w:pPr>
      <w:r>
        <w:t>“Repurchased $90 million of shares in 1Q26 and $228 million since plan inception. Announced $250 million enhanced open market share repurchase program.”  (deck)</w:t>
      </w:r>
    </w:p>
    <w:p>
      <w:r>
        <w:t>Why not consensus: Sell-side analysts modeling FY2027 EPS are working from a FY2026 base that itself has downward-revised estimates due to the short-seller overhang. The compounding effect — a depressed FY2026 base times a conservative margin step — produces a FY2027 EPS that underestimates the operating leverage. Additionally, the $250M buyback program's share count reduction benefit is not fully reflected in consensus diluted share counts, which still show ~296M shares. At $90M repurchased in Q1 alone at ~$13-14/share, the program could retire 17-19M shares by year-end 2026, reducing FY2027 diluted shares to ~278-280M.</w:t>
      </w:r>
    </w:p>
    <w:p>
      <w:pPr>
        <w:pStyle w:val="KillCriteria"/>
      </w:pPr>
      <w:r>
        <w:t>Falsifier: If FY2026 Adjusted EBITDA margin comes in below 24.5% (below the guided 25.0-25.3% floor), the FY2027 margin expansion thesis loses its base. Alternatively, if sports rights cost renewals in FY2027 (average ~4 years remaining on major contracts) come in materially above current run-rate, the cost structure visibility argument is broken.</w:t>
      </w:r>
    </w:p>
    <w:p>
      <w:pPr>
        <w:pStyle w:val="SectionHeading"/>
      </w:pPr>
      <w:r>
        <w:t>2. Drivers</w:t>
      </w:r>
    </w:p>
    <w:tbl>
      <w:tblPr>
        <w:tblW w:type="auto" w:w="0"/>
        <w:tblLook w:firstColumn="1" w:firstRow="1" w:lastColumn="0" w:lastRow="0" w:noHBand="0" w:noVBand="1" w:val="04A0"/>
      </w:tblPr>
      <w:tblGrid>
        <w:gridCol w:w="2448"/>
        <w:gridCol w:w="2448"/>
        <w:gridCol w:w="2448"/>
        <w:gridCol w:w="2448"/>
      </w:tblGrid>
      <w:tr>
        <w:tc>
          <w:tcPr>
            <w:tcW w:type="dxa" w:w="2448"/>
            <w:shd w:val="clear" w:color="auto" w:fill="E8EDF5"/>
            <w:tcBorders>
              <w:top w:val="single" w:sz="4" w:color="BDC3C7"/>
              <w:bottom w:val="single" w:sz="4" w:color="BDC3C7"/>
              <w:left w:val="single" w:sz="4" w:color="BDC3C7"/>
              <w:right w:val="single" w:sz="4" w:color="BDC3C7"/>
            </w:tcBorders>
          </w:tcPr>
          <w:p>
            <w:r>
              <w:rPr>
                <w:b/>
              </w:rPr>
              <w:t>Driver / Component</w:t>
            </w:r>
          </w:p>
        </w:tc>
        <w:tc>
          <w:tcPr>
            <w:tcW w:type="dxa" w:w="2448"/>
            <w:shd w:val="clear" w:color="auto" w:fill="E8EDF5"/>
            <w:tcBorders>
              <w:top w:val="single" w:sz="4" w:color="BDC3C7"/>
              <w:bottom w:val="single" w:sz="4" w:color="BDC3C7"/>
              <w:left w:val="single" w:sz="4" w:color="BDC3C7"/>
              <w:right w:val="single" w:sz="4" w:color="BDC3C7"/>
            </w:tcBorders>
          </w:tcPr>
          <w:p>
            <w:r>
              <w:rPr>
                <w:b/>
              </w:rPr>
              <w:t>Value</w:t>
            </w:r>
          </w:p>
        </w:tc>
        <w:tc>
          <w:tcPr>
            <w:tcW w:type="dxa" w:w="2448"/>
            <w:shd w:val="clear" w:color="auto" w:fill="E8EDF5"/>
            <w:tcBorders>
              <w:top w:val="single" w:sz="4" w:color="BDC3C7"/>
              <w:bottom w:val="single" w:sz="4" w:color="BDC3C7"/>
              <w:left w:val="single" w:sz="4" w:color="BDC3C7"/>
              <w:right w:val="single" w:sz="4" w:color="BDC3C7"/>
            </w:tcBorders>
          </w:tcPr>
          <w:p>
            <w:r>
              <w:rPr>
                <w:b/>
              </w:rPr>
              <w:t>Conf.</w:t>
            </w:r>
          </w:p>
        </w:tc>
        <w:tc>
          <w:tcPr>
            <w:tcW w:type="dxa" w:w="2448"/>
            <w:shd w:val="clear" w:color="auto" w:fill="E8EDF5"/>
            <w:tcBorders>
              <w:top w:val="single" w:sz="4" w:color="BDC3C7"/>
              <w:bottom w:val="single" w:sz="4" w:color="BDC3C7"/>
              <w:left w:val="single" w:sz="4" w:color="BDC3C7"/>
              <w:right w:val="single" w:sz="4" w:color="BDC3C7"/>
            </w:tcBorders>
          </w:tcPr>
          <w:p>
            <w:r>
              <w:rPr>
                <w:b/>
              </w:rPr>
              <w:t>Basis</w:t>
            </w:r>
          </w:p>
        </w:tc>
      </w:tr>
      <w:tr>
        <w:tc>
          <w:tcPr>
            <w:tcW w:type="dxa" w:w="2448"/>
            <w:tcBorders>
              <w:top w:val="single" w:sz="4" w:color="BDC3C7"/>
              <w:bottom w:val="single" w:sz="4" w:color="BDC3C7"/>
              <w:left w:val="single" w:sz="4" w:color="BDC3C7"/>
              <w:right w:val="single" w:sz="4" w:color="BDC3C7"/>
            </w:tcBorders>
          </w:tcPr>
          <w:p>
            <w:r>
              <w:rPr>
                <w:b/>
              </w:rPr>
              <w:t>FY2026 Revenue Growth</w:t>
            </w:r>
          </w:p>
        </w:tc>
        <w:tc>
          <w:tcPr>
            <w:tcW w:type="dxa" w:w="2448"/>
            <w:tcBorders>
              <w:top w:val="single" w:sz="4" w:color="BDC3C7"/>
              <w:bottom w:val="single" w:sz="4" w:color="BDC3C7"/>
              <w:left w:val="single" w:sz="4" w:color="BDC3C7"/>
              <w:right w:val="single" w:sz="4" w:color="BDC3C7"/>
            </w:tcBorders>
          </w:tcPr>
          <w:p>
            <w:r>
              <w:rPr>
                <w:b/>
              </w:rPr>
              <w:t>+11.40%</w:t>
            </w:r>
          </w:p>
        </w:tc>
        <w:tc>
          <w:tcPr>
            <w:tcW w:type="dxa" w:w="2448"/>
            <w:tcBorders>
              <w:top w:val="single" w:sz="4" w:color="BDC3C7"/>
              <w:bottom w:val="single" w:sz="4" w:color="BDC3C7"/>
              <w:left w:val="single" w:sz="4" w:color="BDC3C7"/>
              <w:right w:val="single" w:sz="4" w:color="BDC3C7"/>
            </w:tcBorders>
          </w:tcPr>
          <w:p>
            <w:r>
              <w:rPr>
                <w:b/>
              </w:rPr>
            </w:r>
          </w:p>
        </w:tc>
        <w:tc>
          <w:tcPr>
            <w:tcW w:type="dxa" w:w="2448"/>
            <w:tcBorders>
              <w:top w:val="single" w:sz="4" w:color="BDC3C7"/>
              <w:bottom w:val="single" w:sz="4" w:color="BDC3C7"/>
              <w:left w:val="single" w:sz="4" w:color="BDC3C7"/>
              <w:right w:val="single" w:sz="4" w:color="BDC3C7"/>
            </w:tcBorders>
          </w:tcPr>
          <w:p>
            <w:r>
              <w:rPr>
                <w:b/>
              </w:rPr>
            </w:r>
          </w:p>
        </w:tc>
      </w:tr>
      <w:tr>
        <w:tc>
          <w:tcPr>
            <w:tcW w:type="dxa" w:w="2448"/>
            <w:tcBorders>
              <w:top w:val="single" w:sz="4" w:color="BDC3C7"/>
              <w:bottom w:val="single" w:sz="4" w:color="BDC3C7"/>
              <w:left w:val="single" w:sz="4" w:color="BDC3C7"/>
              <w:right w:val="single" w:sz="4" w:color="BDC3C7"/>
            </w:tcBorders>
          </w:tcPr>
          <w:p>
            <w:r>
              <w:t xml:space="preserve">    Core betting technology and solutions organic growth</w:t>
            </w:r>
          </w:p>
        </w:tc>
        <w:tc>
          <w:tcPr>
            <w:tcW w:type="dxa" w:w="2448"/>
            <w:tcBorders>
              <w:top w:val="single" w:sz="4" w:color="BDC3C7"/>
              <w:bottom w:val="single" w:sz="4" w:color="BDC3C7"/>
              <w:left w:val="single" w:sz="4" w:color="BDC3C7"/>
              <w:right w:val="single" w:sz="4" w:color="BDC3C7"/>
            </w:tcBorders>
          </w:tcPr>
          <w:p>
            <w:r>
              <w:t>+10.00%</w:t>
            </w:r>
          </w:p>
        </w:tc>
        <w:tc>
          <w:tcPr>
            <w:tcW w:type="dxa" w:w="2448"/>
            <w:tcBorders>
              <w:top w:val="single" w:sz="4" w:color="BDC3C7"/>
              <w:bottom w:val="single" w:sz="4" w:color="BDC3C7"/>
              <w:left w:val="single" w:sz="4" w:color="BDC3C7"/>
              <w:right w:val="single" w:sz="4" w:color="BDC3C7"/>
            </w:tcBorders>
          </w:tcPr>
          <w:p>
            <w:r>
              <w:t>0.70</w:t>
            </w:r>
          </w:p>
        </w:tc>
        <w:tc>
          <w:tcPr>
            <w:tcW w:type="dxa" w:w="2448"/>
            <w:tcBorders>
              <w:top w:val="single" w:sz="4" w:color="BDC3C7"/>
              <w:bottom w:val="single" w:sz="4" w:color="BDC3C7"/>
              <w:left w:val="single" w:sz="4" w:color="BDC3C7"/>
              <w:right w:val="single" w:sz="4" w:color="BDC3C7"/>
            </w:tcBorders>
          </w:tcPr>
          <w:p>
            <w:r>
              <w:t>In Q1 2026, Betting Technology &amp; Solutions revenue grew 15% YoY to €288M, driven by 20% growth in Betting and Gaming Content from IMG content uptake. Management on the Q4 2025 call guided 'the strongest revenue growth in</w:t>
            </w:r>
          </w:p>
        </w:tc>
      </w:tr>
      <w:tr>
        <w:tc>
          <w:tcPr>
            <w:tcW w:type="dxa" w:w="2448"/>
            <w:tcBorders>
              <w:top w:val="single" w:sz="4" w:color="BDC3C7"/>
              <w:bottom w:val="single" w:sz="4" w:color="BDC3C7"/>
              <w:left w:val="single" w:sz="4" w:color="BDC3C7"/>
              <w:right w:val="single" w:sz="4" w:color="BDC3C7"/>
            </w:tcBorders>
          </w:tcPr>
          <w:p>
            <w:r>
              <w:t xml:space="preserve">    Prediction markets incremental revenue (H2 2026)</w:t>
            </w:r>
          </w:p>
        </w:tc>
        <w:tc>
          <w:tcPr>
            <w:tcW w:type="dxa" w:w="2448"/>
            <w:tcBorders>
              <w:top w:val="single" w:sz="4" w:color="BDC3C7"/>
              <w:bottom w:val="single" w:sz="4" w:color="BDC3C7"/>
              <w:left w:val="single" w:sz="4" w:color="BDC3C7"/>
              <w:right w:val="single" w:sz="4" w:color="BDC3C7"/>
            </w:tcBorders>
          </w:tcPr>
          <w:p>
            <w:r>
              <w:t>+2.40%</w:t>
            </w:r>
          </w:p>
        </w:tc>
        <w:tc>
          <w:tcPr>
            <w:tcW w:type="dxa" w:w="2448"/>
            <w:tcBorders>
              <w:top w:val="single" w:sz="4" w:color="BDC3C7"/>
              <w:bottom w:val="single" w:sz="4" w:color="BDC3C7"/>
              <w:left w:val="single" w:sz="4" w:color="BDC3C7"/>
              <w:right w:val="single" w:sz="4" w:color="BDC3C7"/>
            </w:tcBorders>
          </w:tcPr>
          <w:p>
            <w:r>
              <w:t>0.40</w:t>
            </w:r>
          </w:p>
        </w:tc>
        <w:tc>
          <w:tcPr>
            <w:tcW w:type="dxa" w:w="2448"/>
            <w:tcBorders>
              <w:top w:val="single" w:sz="4" w:color="BDC3C7"/>
              <w:bottom w:val="single" w:sz="4" w:color="BDC3C7"/>
              <w:left w:val="single" w:sz="4" w:color="BDC3C7"/>
              <w:right w:val="single" w:sz="4" w:color="BDC3C7"/>
            </w:tcBorders>
          </w:tcPr>
          <w:p>
            <w:r>
              <w:t>Management on the Q1 2026 call explicitly cited prediction market revenue as 'probably the biggest' confidence driver for H2 2026 guidance. The Kalshi partnership (announced June 8, 2026 per StockTwits/news) positions Sp</w:t>
            </w:r>
          </w:p>
        </w:tc>
      </w:tr>
      <w:tr>
        <w:tc>
          <w:tcPr>
            <w:tcW w:type="dxa" w:w="2448"/>
            <w:tcBorders>
              <w:top w:val="single" w:sz="4" w:color="BDC3C7"/>
              <w:bottom w:val="single" w:sz="4" w:color="BDC3C7"/>
              <w:left w:val="single" w:sz="4" w:color="BDC3C7"/>
              <w:right w:val="single" w:sz="4" w:color="BDC3C7"/>
            </w:tcBorders>
          </w:tcPr>
          <w:p>
            <w:r>
              <w:t xml:space="preserve">    FX headwind offset</w:t>
            </w:r>
          </w:p>
        </w:tc>
        <w:tc>
          <w:tcPr>
            <w:tcW w:type="dxa" w:w="2448"/>
            <w:tcBorders>
              <w:top w:val="single" w:sz="4" w:color="BDC3C7"/>
              <w:bottom w:val="single" w:sz="4" w:color="BDC3C7"/>
              <w:left w:val="single" w:sz="4" w:color="BDC3C7"/>
              <w:right w:val="single" w:sz="4" w:color="BDC3C7"/>
            </w:tcBorders>
          </w:tcPr>
          <w:p>
            <w:r>
              <w:t>-1.00%</w:t>
            </w:r>
          </w:p>
        </w:tc>
        <w:tc>
          <w:tcPr>
            <w:tcW w:type="dxa" w:w="2448"/>
            <w:tcBorders>
              <w:top w:val="single" w:sz="4" w:color="BDC3C7"/>
              <w:bottom w:val="single" w:sz="4" w:color="BDC3C7"/>
              <w:left w:val="single" w:sz="4" w:color="BDC3C7"/>
              <w:right w:val="single" w:sz="4" w:color="BDC3C7"/>
            </w:tcBorders>
          </w:tcPr>
          <w:p>
            <w:r>
              <w:t>0.60</w:t>
            </w:r>
          </w:p>
        </w:tc>
        <w:tc>
          <w:tcPr>
            <w:tcW w:type="dxa" w:w="2448"/>
            <w:tcBorders>
              <w:top w:val="single" w:sz="4" w:color="BDC3C7"/>
              <w:bottom w:val="single" w:sz="4" w:color="BDC3C7"/>
              <w:left w:val="single" w:sz="4" w:color="BDC3C7"/>
              <w:right w:val="single" w:sz="4" w:color="BDC3C7"/>
            </w:tcBorders>
          </w:tcPr>
          <w:p>
            <w:r>
              <w:t>Management on the Q4 2025 call noted 'Foreign currency will be a headwind at current rates' and the FX-adjusted revenue guidance of €1,557-1,582M implies approximately 1-2% headwind vs. constant currency growth. The Q1 2</w:t>
            </w:r>
          </w:p>
        </w:tc>
      </w:tr>
    </w:tbl>
    <w:p>
      <w:pPr>
        <w:pStyle w:val="SubHeading"/>
      </w:pPr>
      <w:r>
        <w:t>Bear revisions:</w:t>
      </w:r>
    </w:p>
    <w:p>
      <w:pPr>
        <w:pStyle w:val="ListBullet"/>
      </w:pPr>
      <w:r>
        <w:t>FY2026 Revenue Growth.Core betting technology and solutions organic growth: 15.0 → 10.0 — If the Muddy Waters allegations result in even modest customer churn from operators seeking to distance themselves from compliance risk, or if U.S. sportsbook volume growth continues to disappoint (Q1 2026 U.S. revenue grew only 4% reported, 17% constant currency — the reported number is what operators see), the core BT&amp;S growth rate could decelerate to 10% rather than 15%. The CFO's non-answer on black-market operator revenue exposure is the specific trigger for this bear revision.</w:t>
      </w:r>
    </w:p>
    <w:p>
      <w:pPr>
        <w:pStyle w:val="ListBullet"/>
      </w:pPr>
      <w:r>
        <w:t>FY2026 Revenue Growth.Prediction markets incremental revenue (H2 2026): 4.0 → 0.0 — Prediction market revenue is entirely speculative in magnitude. If the Kalshi partnership ramp is slower than management expects (regulatory delays at CFTC, slower exchange adoption, or market maker liquidity constraints), the H2 2026 prediction market contribution could be zero or immaterial. Management has not provided a floor estimate, and the 'good sight lines' language is not a committed guide.</w:t>
      </w:r>
    </w:p>
    <w:p>
      <w:pPr>
        <w:pStyle w:val="SubHeading"/>
      </w:pPr>
      <w:r>
        <w:t>Comp decomposition check:</w:t>
      </w:r>
    </w:p>
    <w:p>
      <w:pPr>
        <w:pStyle w:val="ListBullet"/>
      </w:pPr>
      <w:r>
        <w:t>Schema mismatch: peer comps fit 'software' but the brief picked 'general'. The mechanical model will use generic defaults; final EPS may be unreliable.</w:t>
      </w:r>
    </w:p>
    <w:p>
      <w:pPr>
        <w:pStyle w:val="ListBullet"/>
      </w:pPr>
      <w:r>
        <w:t>Thin brief drivers (1 drivers / 3 components) on schema 'general'. The mechanical model and edge variant back-solve may be unreliable.</w:t>
      </w:r>
    </w:p>
    <w:p>
      <w:pPr>
        <w:pStyle w:val="ListBullet"/>
      </w:pPr>
      <w:r>
        <w:rPr>
          <w:i/>
        </w:rPr>
        <w:t>→ Research: CFTC issued proposed rulemaking on June 10, 2026 signaling permissive stance toward sports event contracts, with comment period closing July 27, 2026. Ruling would likely permit broad sports outcomes (scores, statistics) while restricting discrete plays and pre-collegiate events. Final rule adoption timeline extends beyond H2 2026, creating regulatory uncertainty for Kalshi's revenue model. (ropesgray.com)</w:t>
      </w:r>
    </w:p>
    <w:p>
      <w:pPr>
        <w:pStyle w:val="PullQuote"/>
      </w:pPr>
      <w:r>
        <w:t>Counter: the analyst claims Prediction markets represent a 4% incremental revenue driver in H2 2026 that consensus has not yet priced — but Management's reaffirmed guidance of 23%-25% growth was issued AFTER the Kalshi partnership announcement (June 8, 2026 per pitch; guidance deck dated June 30, 2026). If prediction markets were truly an incremental layer above existing guidance, management would have RAISED guidance, not reaffirmed it. The most logical interpretation is that prediction markets revenue is already embedded in the…</w:t>
      </w:r>
    </w:p>
    <w:p>
      <w:pPr>
        <w:pStyle w:val="SectionHeading"/>
      </w:pPr>
      <w:r>
        <w:t>3. Consensus Gap &amp; Valuation</w:t>
      </w:r>
    </w:p>
    <w:p>
      <w:r>
        <w:t>Our EPS: $0.46  =  baseline $0.44  +  Σ claim impacts $+0.02 (3.6% above consensus $0.44)</w:t>
      </w:r>
    </w:p>
    <w:p>
      <w:pPr>
        <w:pStyle w:val="SubHeading"/>
      </w:pPr>
      <w:r>
        <w:t>EPS Bridge (consensus baseline + flow-through):</w:t>
      </w:r>
    </w:p>
    <w:tbl>
      <w:tblPr>
        <w:tblW w:type="auto" w:w="0"/>
        <w:tblLook w:firstColumn="1" w:firstRow="1" w:lastColumn="0" w:lastRow="0" w:noHBand="0" w:noVBand="1" w:val="04A0"/>
      </w:tblPr>
      <w:tblGrid>
        <w:gridCol w:w="2448"/>
        <w:gridCol w:w="2448"/>
        <w:gridCol w:w="2448"/>
        <w:gridCol w:w="2448"/>
      </w:tblGrid>
      <w:tr>
        <w:tc>
          <w:tcPr>
            <w:tcW w:type="dxa" w:w="2448"/>
            <w:shd w:val="clear" w:color="auto" w:fill="E8EDF5"/>
            <w:tcBorders>
              <w:top w:val="single" w:sz="4" w:color="BDC3C7"/>
              <w:bottom w:val="single" w:sz="4" w:color="BDC3C7"/>
              <w:left w:val="single" w:sz="4" w:color="BDC3C7"/>
              <w:right w:val="single" w:sz="4" w:color="BDC3C7"/>
            </w:tcBorders>
          </w:tcPr>
          <w:p>
            <w:r>
              <w:rPr>
                <w:b/>
              </w:rPr>
              <w:t>Line</w:t>
            </w:r>
          </w:p>
        </w:tc>
        <w:tc>
          <w:tcPr>
            <w:tcW w:type="dxa" w:w="2448"/>
            <w:shd w:val="clear" w:color="auto" w:fill="E8EDF5"/>
            <w:tcBorders>
              <w:top w:val="single" w:sz="4" w:color="BDC3C7"/>
              <w:bottom w:val="single" w:sz="4" w:color="BDC3C7"/>
              <w:left w:val="single" w:sz="4" w:color="BDC3C7"/>
              <w:right w:val="single" w:sz="4" w:color="BDC3C7"/>
            </w:tcBorders>
          </w:tcPr>
          <w:p>
            <w:r>
              <w:rPr>
                <w:b/>
              </w:rPr>
              <w:t>Anchor / Δ</w:t>
            </w:r>
          </w:p>
        </w:tc>
        <w:tc>
          <w:tcPr>
            <w:tcW w:type="dxa" w:w="2448"/>
            <w:shd w:val="clear" w:color="auto" w:fill="E8EDF5"/>
            <w:tcBorders>
              <w:top w:val="single" w:sz="4" w:color="BDC3C7"/>
              <w:bottom w:val="single" w:sz="4" w:color="BDC3C7"/>
              <w:left w:val="single" w:sz="4" w:color="BDC3C7"/>
              <w:right w:val="single" w:sz="4" w:color="BDC3C7"/>
            </w:tcBorders>
          </w:tcPr>
          <w:p>
            <w:r>
              <w:rPr>
                <w:b/>
              </w:rPr>
              <w:t>Flow-through</w:t>
            </w:r>
          </w:p>
        </w:tc>
        <w:tc>
          <w:tcPr>
            <w:tcW w:type="dxa" w:w="2448"/>
            <w:shd w:val="clear" w:color="auto" w:fill="E8EDF5"/>
            <w:tcBorders>
              <w:top w:val="single" w:sz="4" w:color="BDC3C7"/>
              <w:bottom w:val="single" w:sz="4" w:color="BDC3C7"/>
              <w:left w:val="single" w:sz="4" w:color="BDC3C7"/>
              <w:right w:val="single" w:sz="4" w:color="BDC3C7"/>
            </w:tcBorders>
          </w:tcPr>
          <w:p>
            <w:r>
              <w:rPr>
                <w:b/>
              </w:rPr>
              <w:t>EPS impact</w:t>
            </w:r>
          </w:p>
        </w:tc>
      </w:tr>
      <w:tr>
        <w:tc>
          <w:tcPr>
            <w:tcW w:type="dxa" w:w="2448"/>
            <w:tcBorders>
              <w:top w:val="single" w:sz="4" w:color="BDC3C7"/>
              <w:bottom w:val="single" w:sz="4" w:color="BDC3C7"/>
              <w:left w:val="single" w:sz="4" w:color="BDC3C7"/>
              <w:right w:val="single" w:sz="4" w:color="BDC3C7"/>
            </w:tcBorders>
          </w:tcPr>
          <w:p>
            <w:r>
              <w:rPr>
                <w:b/>
              </w:rPr>
              <w:t>Baseline</w:t>
            </w:r>
          </w:p>
        </w:tc>
        <w:tc>
          <w:tcPr>
            <w:tcW w:type="dxa" w:w="2448"/>
            <w:tcBorders>
              <w:top w:val="single" w:sz="4" w:color="BDC3C7"/>
              <w:bottom w:val="single" w:sz="4" w:color="BDC3C7"/>
              <w:left w:val="single" w:sz="4" w:color="BDC3C7"/>
              <w:right w:val="single" w:sz="4" w:color="BDC3C7"/>
            </w:tcBorders>
          </w:tcPr>
          <w:p>
            <w:r>
              <w:rPr>
                <w:b/>
              </w:rPr>
              <w:t>Revenue: FY consensus revenue; EPS: FY consensus EPS</w:t>
            </w:r>
          </w:p>
        </w:tc>
        <w:tc>
          <w:tcPr>
            <w:tcW w:type="dxa" w:w="2448"/>
            <w:tcBorders>
              <w:top w:val="single" w:sz="4" w:color="BDC3C7"/>
              <w:bottom w:val="single" w:sz="4" w:color="BDC3C7"/>
              <w:left w:val="single" w:sz="4" w:color="BDC3C7"/>
              <w:right w:val="single" w:sz="4" w:color="BDC3C7"/>
            </w:tcBorders>
          </w:tcPr>
          <w:p>
            <w:r>
              <w:rPr>
                <w:b/>
              </w:rPr>
              <w:t>—</w:t>
            </w:r>
          </w:p>
        </w:tc>
        <w:tc>
          <w:tcPr>
            <w:tcW w:type="dxa" w:w="2448"/>
            <w:tcBorders>
              <w:top w:val="single" w:sz="4" w:color="BDC3C7"/>
              <w:bottom w:val="single" w:sz="4" w:color="BDC3C7"/>
              <w:left w:val="single" w:sz="4" w:color="BDC3C7"/>
              <w:right w:val="single" w:sz="4" w:color="BDC3C7"/>
            </w:tcBorders>
          </w:tcPr>
          <w:p>
            <w:r>
              <w:rPr>
                <w:b/>
              </w:rPr>
              <w:t>$0.44</w:t>
            </w:r>
          </w:p>
        </w:tc>
      </w:tr>
      <w:tr>
        <w:tc>
          <w:tcPr>
            <w:tcW w:type="dxa" w:w="2448"/>
            <w:tcBorders>
              <w:top w:val="single" w:sz="4" w:color="BDC3C7"/>
              <w:bottom w:val="single" w:sz="4" w:color="BDC3C7"/>
              <w:left w:val="single" w:sz="4" w:color="BDC3C7"/>
              <w:right w:val="single" w:sz="4" w:color="BDC3C7"/>
            </w:tcBorders>
          </w:tcPr>
          <w:p>
            <w:r>
              <w:t>Revenue</w:t>
            </w:r>
          </w:p>
        </w:tc>
        <w:tc>
          <w:tcPr>
            <w:tcW w:type="dxa" w:w="2448"/>
            <w:tcBorders>
              <w:top w:val="single" w:sz="4" w:color="BDC3C7"/>
              <w:bottom w:val="single" w:sz="4" w:color="BDC3C7"/>
              <w:left w:val="single" w:sz="4" w:color="BDC3C7"/>
              <w:right w:val="single" w:sz="4" w:color="BDC3C7"/>
            </w:tcBorders>
          </w:tcPr>
          <w:p>
            <w:r>
              <w:t>Cons FY Rev</w:t>
              <w:br/>
              <w:t>$1.6B → $1.6B (Δ $51M)</w:t>
            </w:r>
          </w:p>
        </w:tc>
        <w:tc>
          <w:tcPr>
            <w:tcW w:type="dxa" w:w="2448"/>
            <w:tcBorders>
              <w:top w:val="single" w:sz="4" w:color="BDC3C7"/>
              <w:bottom w:val="single" w:sz="4" w:color="BDC3C7"/>
              <w:left w:val="single" w:sz="4" w:color="BDC3C7"/>
              <w:right w:val="single" w:sz="4" w:color="BDC3C7"/>
            </w:tcBorders>
          </w:tcPr>
          <w:p>
            <w:r>
              <w:t>Revenue Δ $+51M × 11% incremental margin × 84% after-tax</w:t>
            </w:r>
          </w:p>
        </w:tc>
        <w:tc>
          <w:tcPr>
            <w:tcW w:type="dxa" w:w="2448"/>
            <w:tcBorders>
              <w:top w:val="single" w:sz="4" w:color="BDC3C7"/>
              <w:bottom w:val="single" w:sz="4" w:color="BDC3C7"/>
              <w:left w:val="single" w:sz="4" w:color="BDC3C7"/>
              <w:right w:val="single" w:sz="4" w:color="BDC3C7"/>
            </w:tcBorders>
          </w:tcPr>
          <w:p>
            <w:r>
              <w:t>+0.02</w:t>
            </w:r>
          </w:p>
        </w:tc>
      </w:tr>
      <w:tr>
        <w:tc>
          <w:tcPr>
            <w:tcW w:type="dxa" w:w="2448"/>
            <w:shd w:val="clear" w:color="auto" w:fill="E8EDF5"/>
            <w:tcBorders>
              <w:top w:val="single" w:sz="4" w:color="BDC3C7"/>
              <w:bottom w:val="single" w:sz="4" w:color="BDC3C7"/>
              <w:left w:val="single" w:sz="4" w:color="BDC3C7"/>
              <w:right w:val="single" w:sz="4" w:color="BDC3C7"/>
            </w:tcBorders>
          </w:tcPr>
          <w:p>
            <w:r>
              <w:rPr>
                <w:i/>
              </w:rPr>
              <w:t>Σ Δ</w:t>
            </w:r>
          </w:p>
        </w:tc>
        <w:tc>
          <w:tcPr>
            <w:tcW w:type="dxa" w:w="2448"/>
            <w:shd w:val="clear" w:color="auto" w:fill="E8EDF5"/>
            <w:tcBorders>
              <w:top w:val="single" w:sz="4" w:color="BDC3C7"/>
              <w:bottom w:val="single" w:sz="4" w:color="BDC3C7"/>
              <w:left w:val="single" w:sz="4" w:color="BDC3C7"/>
              <w:right w:val="single" w:sz="4" w:color="BDC3C7"/>
            </w:tcBorders>
          </w:tcPr>
          <w:p>
            <w:r>
              <w:rPr>
                <w:i/>
              </w:rPr>
            </w:r>
          </w:p>
        </w:tc>
        <w:tc>
          <w:tcPr>
            <w:tcW w:type="dxa" w:w="2448"/>
            <w:shd w:val="clear" w:color="auto" w:fill="E8EDF5"/>
            <w:tcBorders>
              <w:top w:val="single" w:sz="4" w:color="BDC3C7"/>
              <w:bottom w:val="single" w:sz="4" w:color="BDC3C7"/>
              <w:left w:val="single" w:sz="4" w:color="BDC3C7"/>
              <w:right w:val="single" w:sz="4" w:color="BDC3C7"/>
            </w:tcBorders>
          </w:tcPr>
          <w:p>
            <w:r>
              <w:rPr>
                <w:i/>
              </w:rPr>
            </w:r>
          </w:p>
        </w:tc>
        <w:tc>
          <w:tcPr>
            <w:tcW w:type="dxa" w:w="2448"/>
            <w:shd w:val="clear" w:color="auto" w:fill="E8EDF5"/>
            <w:tcBorders>
              <w:top w:val="single" w:sz="4" w:color="BDC3C7"/>
              <w:bottom w:val="single" w:sz="4" w:color="BDC3C7"/>
              <w:left w:val="single" w:sz="4" w:color="BDC3C7"/>
              <w:right w:val="single" w:sz="4" w:color="BDC3C7"/>
            </w:tcBorders>
          </w:tcPr>
          <w:p>
            <w:r>
              <w:rPr>
                <w:i/>
              </w:rPr>
              <w:t>+0.02</w:t>
            </w:r>
          </w:p>
        </w:tc>
      </w:tr>
      <w:tr>
        <w:tc>
          <w:tcPr>
            <w:tcW w:type="dxa" w:w="2448"/>
            <w:shd w:val="clear" w:color="auto" w:fill="E8EDF5"/>
            <w:tcBorders>
              <w:top w:val="single" w:sz="4" w:color="BDC3C7"/>
              <w:bottom w:val="single" w:sz="4" w:color="BDC3C7"/>
              <w:left w:val="single" w:sz="4" w:color="BDC3C7"/>
              <w:right w:val="single" w:sz="4" w:color="BDC3C7"/>
            </w:tcBorders>
          </w:tcPr>
          <w:p>
            <w:r>
              <w:rPr>
                <w:b/>
              </w:rPr>
              <w:t>Our EPS</w:t>
            </w:r>
          </w:p>
        </w:tc>
        <w:tc>
          <w:tcPr>
            <w:tcW w:type="dxa" w:w="2448"/>
            <w:shd w:val="clear" w:color="auto" w:fill="E8EDF5"/>
            <w:tcBorders>
              <w:top w:val="single" w:sz="4" w:color="BDC3C7"/>
              <w:bottom w:val="single" w:sz="4" w:color="BDC3C7"/>
              <w:left w:val="single" w:sz="4" w:color="BDC3C7"/>
              <w:right w:val="single" w:sz="4" w:color="BDC3C7"/>
            </w:tcBorders>
          </w:tcPr>
          <w:p>
            <w:r>
              <w:rPr>
                <w:b/>
              </w:rPr>
            </w:r>
          </w:p>
        </w:tc>
        <w:tc>
          <w:tcPr>
            <w:tcW w:type="dxa" w:w="2448"/>
            <w:shd w:val="clear" w:color="auto" w:fill="E8EDF5"/>
            <w:tcBorders>
              <w:top w:val="single" w:sz="4" w:color="BDC3C7"/>
              <w:bottom w:val="single" w:sz="4" w:color="BDC3C7"/>
              <w:left w:val="single" w:sz="4" w:color="BDC3C7"/>
              <w:right w:val="single" w:sz="4" w:color="BDC3C7"/>
            </w:tcBorders>
          </w:tcPr>
          <w:p>
            <w:r>
              <w:rPr>
                <w:b/>
              </w:rPr>
            </w:r>
          </w:p>
        </w:tc>
        <w:tc>
          <w:tcPr>
            <w:tcW w:type="dxa" w:w="2448"/>
            <w:shd w:val="clear" w:color="auto" w:fill="E8EDF5"/>
            <w:tcBorders>
              <w:top w:val="single" w:sz="4" w:color="BDC3C7"/>
              <w:bottom w:val="single" w:sz="4" w:color="BDC3C7"/>
              <w:left w:val="single" w:sz="4" w:color="BDC3C7"/>
              <w:right w:val="single" w:sz="4" w:color="BDC3C7"/>
            </w:tcBorders>
          </w:tcPr>
          <w:p>
            <w:r>
              <w:rPr>
                <w:b/>
              </w:rPr>
              <w:t>$0.46</w:t>
            </w:r>
          </w:p>
        </w:tc>
      </w:tr>
    </w:tbl>
    <w:p>
      <w:pPr>
        <w:pStyle w:val="PullQuote"/>
      </w:pPr>
      <w:r>
        <w:t xml:space="preserve">  ⚠ 1 claim(s) target a different fiscal period than the current_fy baseline and weren't summed: consensus_next_fy_eps</w:t>
      </w:r>
    </w:p>
    <w:p>
      <w:r>
        <w:t>Our estimate is $0.02 (3.6%) above consensus $0.44. No single driver within plausible bounds can close the gap to consensus when other drivers are held at our values; the EPS variant is diffuse (top magnitude: FY2026 Revenue Growth.Core betting technology and solutions organic growth). Variant appears NOT fully priced in based on available market data. Next catalyst: Next quarterly earnings report (2026-07-28 (28 days)). Time horizon: trade.</w:t>
      </w:r>
    </w:p>
    <w:tbl>
      <w:tblPr>
        <w:tblW w:type="auto" w:w="0"/>
        <w:tblLook w:firstColumn="1" w:firstRow="1" w:lastColumn="0" w:lastRow="0" w:noHBand="0" w:noVBand="1" w:val="04A0"/>
      </w:tblPr>
      <w:tblGrid>
        <w:gridCol w:w="1958"/>
        <w:gridCol w:w="1958"/>
        <w:gridCol w:w="1958"/>
        <w:gridCol w:w="1958"/>
        <w:gridCol w:w="1958"/>
      </w:tblGrid>
      <w:tr>
        <w:tc>
          <w:tcPr>
            <w:tcW w:type="dxa" w:w="1958"/>
            <w:shd w:val="clear" w:color="auto" w:fill="E8EDF5"/>
            <w:tcBorders>
              <w:top w:val="single" w:sz="4" w:color="BDC3C7"/>
              <w:bottom w:val="single" w:sz="4" w:color="BDC3C7"/>
              <w:left w:val="single" w:sz="4" w:color="BDC3C7"/>
              <w:right w:val="single" w:sz="4" w:color="BDC3C7"/>
            </w:tcBorders>
          </w:tcPr>
          <w:p>
            <w:r>
              <w:rPr>
                <w:b/>
              </w:rPr>
              <w:t>Driver</w:t>
            </w:r>
          </w:p>
        </w:tc>
        <w:tc>
          <w:tcPr>
            <w:tcW w:type="dxa" w:w="1958"/>
            <w:shd w:val="clear" w:color="auto" w:fill="E8EDF5"/>
            <w:tcBorders>
              <w:top w:val="single" w:sz="4" w:color="BDC3C7"/>
              <w:bottom w:val="single" w:sz="4" w:color="BDC3C7"/>
              <w:left w:val="single" w:sz="4" w:color="BDC3C7"/>
              <w:right w:val="single" w:sz="4" w:color="BDC3C7"/>
            </w:tcBorders>
          </w:tcPr>
          <w:p>
            <w:r>
              <w:rPr>
                <w:b/>
              </w:rPr>
              <w:t>Ours</w:t>
            </w:r>
          </w:p>
        </w:tc>
        <w:tc>
          <w:tcPr>
            <w:tcW w:type="dxa" w:w="1958"/>
            <w:shd w:val="clear" w:color="auto" w:fill="E8EDF5"/>
            <w:tcBorders>
              <w:top w:val="single" w:sz="4" w:color="BDC3C7"/>
              <w:bottom w:val="single" w:sz="4" w:color="BDC3C7"/>
              <w:left w:val="single" w:sz="4" w:color="BDC3C7"/>
              <w:right w:val="single" w:sz="4" w:color="BDC3C7"/>
            </w:tcBorders>
          </w:tcPr>
          <w:p>
            <w:r>
              <w:rPr>
                <w:b/>
              </w:rPr>
              <w:t>Street</w:t>
            </w:r>
          </w:p>
        </w:tc>
        <w:tc>
          <w:tcPr>
            <w:tcW w:type="dxa" w:w="1958"/>
            <w:shd w:val="clear" w:color="auto" w:fill="E8EDF5"/>
            <w:tcBorders>
              <w:top w:val="single" w:sz="4" w:color="BDC3C7"/>
              <w:bottom w:val="single" w:sz="4" w:color="BDC3C7"/>
              <w:left w:val="single" w:sz="4" w:color="BDC3C7"/>
              <w:right w:val="single" w:sz="4" w:color="BDC3C7"/>
            </w:tcBorders>
          </w:tcPr>
          <w:p>
            <w:r>
              <w:rPr>
                <w:b/>
              </w:rPr>
              <w:t>Δ EPS</w:t>
            </w:r>
          </w:p>
        </w:tc>
        <w:tc>
          <w:tcPr>
            <w:tcW w:type="dxa" w:w="1958"/>
            <w:shd w:val="clear" w:color="auto" w:fill="E8EDF5"/>
            <w:tcBorders>
              <w:top w:val="single" w:sz="4" w:color="BDC3C7"/>
              <w:bottom w:val="single" w:sz="4" w:color="BDC3C7"/>
              <w:left w:val="single" w:sz="4" w:color="BDC3C7"/>
              <w:right w:val="single" w:sz="4" w:color="BDC3C7"/>
            </w:tcBorders>
          </w:tcPr>
          <w:p>
            <w:r>
              <w:rPr>
                <w:b/>
              </w:rPr>
              <w:t>Conf.</w:t>
            </w:r>
          </w:p>
        </w:tc>
      </w:tr>
      <w:tr>
        <w:tc>
          <w:tcPr>
            <w:tcW w:type="dxa" w:w="1958"/>
            <w:tcBorders>
              <w:top w:val="single" w:sz="4" w:color="BDC3C7"/>
              <w:bottom w:val="single" w:sz="4" w:color="BDC3C7"/>
              <w:left w:val="single" w:sz="4" w:color="BDC3C7"/>
              <w:right w:val="single" w:sz="4" w:color="BDC3C7"/>
            </w:tcBorders>
          </w:tcPr>
          <w:p>
            <w:r>
              <w:t>FY2026 Revenue Growth.Core betting technology and solutions organic growth</w:t>
            </w:r>
          </w:p>
        </w:tc>
        <w:tc>
          <w:tcPr>
            <w:tcW w:type="dxa" w:w="1958"/>
            <w:tcBorders>
              <w:top w:val="single" w:sz="4" w:color="BDC3C7"/>
              <w:bottom w:val="single" w:sz="4" w:color="BDC3C7"/>
              <w:left w:val="single" w:sz="4" w:color="BDC3C7"/>
              <w:right w:val="single" w:sz="4" w:color="BDC3C7"/>
            </w:tcBorders>
          </w:tcPr>
          <w:p>
            <w:r>
              <w:t>+10.00</w:t>
            </w:r>
          </w:p>
        </w:tc>
        <w:tc>
          <w:tcPr>
            <w:tcW w:type="dxa" w:w="1958"/>
            <w:tcBorders>
              <w:top w:val="single" w:sz="4" w:color="BDC3C7"/>
              <w:bottom w:val="single" w:sz="4" w:color="BDC3C7"/>
              <w:left w:val="single" w:sz="4" w:color="BDC3C7"/>
              <w:right w:val="single" w:sz="4" w:color="BDC3C7"/>
            </w:tcBorders>
          </w:tcPr>
          <w:p>
            <w:r>
              <w:t>+10.00</w:t>
            </w:r>
          </w:p>
        </w:tc>
        <w:tc>
          <w:tcPr>
            <w:tcW w:type="dxa" w:w="1958"/>
            <w:tcBorders>
              <w:top w:val="single" w:sz="4" w:color="BDC3C7"/>
              <w:bottom w:val="single" w:sz="4" w:color="BDC3C7"/>
              <w:left w:val="single" w:sz="4" w:color="BDC3C7"/>
              <w:right w:val="single" w:sz="4" w:color="BDC3C7"/>
            </w:tcBorders>
          </w:tcPr>
          <w:p>
            <w:r>
              <w:t>+0.000</w:t>
            </w:r>
          </w:p>
        </w:tc>
        <w:tc>
          <w:tcPr>
            <w:tcW w:type="dxa" w:w="1958"/>
            <w:tcBorders>
              <w:top w:val="single" w:sz="4" w:color="BDC3C7"/>
              <w:bottom w:val="single" w:sz="4" w:color="BDC3C7"/>
              <w:left w:val="single" w:sz="4" w:color="BDC3C7"/>
              <w:right w:val="single" w:sz="4" w:color="BDC3C7"/>
            </w:tcBorders>
          </w:tcPr>
          <w:p>
            <w:r>
              <w:t>0.50</w:t>
            </w:r>
          </w:p>
        </w:tc>
      </w:tr>
      <w:tr>
        <w:tc>
          <w:tcPr>
            <w:tcW w:type="dxa" w:w="1958"/>
            <w:tcBorders>
              <w:top w:val="single" w:sz="4" w:color="BDC3C7"/>
              <w:bottom w:val="single" w:sz="4" w:color="BDC3C7"/>
              <w:left w:val="single" w:sz="4" w:color="BDC3C7"/>
              <w:right w:val="single" w:sz="4" w:color="BDC3C7"/>
            </w:tcBorders>
          </w:tcPr>
          <w:p>
            <w:r>
              <w:t>FY2026 Revenue Growth.Prediction markets incremental revenue (H2 2026)</w:t>
            </w:r>
          </w:p>
        </w:tc>
        <w:tc>
          <w:tcPr>
            <w:tcW w:type="dxa" w:w="1958"/>
            <w:tcBorders>
              <w:top w:val="single" w:sz="4" w:color="BDC3C7"/>
              <w:bottom w:val="single" w:sz="4" w:color="BDC3C7"/>
              <w:left w:val="single" w:sz="4" w:color="BDC3C7"/>
              <w:right w:val="single" w:sz="4" w:color="BDC3C7"/>
            </w:tcBorders>
          </w:tcPr>
          <w:p>
            <w:r>
              <w:t>+2.40</w:t>
            </w:r>
          </w:p>
        </w:tc>
        <w:tc>
          <w:tcPr>
            <w:tcW w:type="dxa" w:w="1958"/>
            <w:tcBorders>
              <w:top w:val="single" w:sz="4" w:color="BDC3C7"/>
              <w:bottom w:val="single" w:sz="4" w:color="BDC3C7"/>
              <w:left w:val="single" w:sz="4" w:color="BDC3C7"/>
              <w:right w:val="single" w:sz="4" w:color="BDC3C7"/>
            </w:tcBorders>
          </w:tcPr>
          <w:p>
            <w:r>
              <w:t>+2.40</w:t>
            </w:r>
          </w:p>
        </w:tc>
        <w:tc>
          <w:tcPr>
            <w:tcW w:type="dxa" w:w="1958"/>
            <w:tcBorders>
              <w:top w:val="single" w:sz="4" w:color="BDC3C7"/>
              <w:bottom w:val="single" w:sz="4" w:color="BDC3C7"/>
              <w:left w:val="single" w:sz="4" w:color="BDC3C7"/>
              <w:right w:val="single" w:sz="4" w:color="BDC3C7"/>
            </w:tcBorders>
          </w:tcPr>
          <w:p>
            <w:r>
              <w:t>+0.000</w:t>
            </w:r>
          </w:p>
        </w:tc>
        <w:tc>
          <w:tcPr>
            <w:tcW w:type="dxa" w:w="1958"/>
            <w:tcBorders>
              <w:top w:val="single" w:sz="4" w:color="BDC3C7"/>
              <w:bottom w:val="single" w:sz="4" w:color="BDC3C7"/>
              <w:left w:val="single" w:sz="4" w:color="BDC3C7"/>
              <w:right w:val="single" w:sz="4" w:color="BDC3C7"/>
            </w:tcBorders>
          </w:tcPr>
          <w:p>
            <w:r>
              <w:t>0.20</w:t>
            </w:r>
          </w:p>
        </w:tc>
      </w:tr>
      <w:tr>
        <w:tc>
          <w:tcPr>
            <w:tcW w:type="dxa" w:w="1958"/>
            <w:tcBorders>
              <w:top w:val="single" w:sz="4" w:color="BDC3C7"/>
              <w:bottom w:val="single" w:sz="4" w:color="BDC3C7"/>
              <w:left w:val="single" w:sz="4" w:color="BDC3C7"/>
              <w:right w:val="single" w:sz="4" w:color="BDC3C7"/>
            </w:tcBorders>
          </w:tcPr>
          <w:p>
            <w:r>
              <w:t>FY2026 Revenue Growth.FX headwind offset</w:t>
            </w:r>
          </w:p>
        </w:tc>
        <w:tc>
          <w:tcPr>
            <w:tcW w:type="dxa" w:w="1958"/>
            <w:tcBorders>
              <w:top w:val="single" w:sz="4" w:color="BDC3C7"/>
              <w:bottom w:val="single" w:sz="4" w:color="BDC3C7"/>
              <w:left w:val="single" w:sz="4" w:color="BDC3C7"/>
              <w:right w:val="single" w:sz="4" w:color="BDC3C7"/>
            </w:tcBorders>
          </w:tcPr>
          <w:p>
            <w:r>
              <w:t>-1.00</w:t>
            </w:r>
          </w:p>
        </w:tc>
        <w:tc>
          <w:tcPr>
            <w:tcW w:type="dxa" w:w="1958"/>
            <w:tcBorders>
              <w:top w:val="single" w:sz="4" w:color="BDC3C7"/>
              <w:bottom w:val="single" w:sz="4" w:color="BDC3C7"/>
              <w:left w:val="single" w:sz="4" w:color="BDC3C7"/>
              <w:right w:val="single" w:sz="4" w:color="BDC3C7"/>
            </w:tcBorders>
          </w:tcPr>
          <w:p>
            <w:r>
              <w:t>-1.00</w:t>
            </w:r>
          </w:p>
        </w:tc>
        <w:tc>
          <w:tcPr>
            <w:tcW w:type="dxa" w:w="1958"/>
            <w:tcBorders>
              <w:top w:val="single" w:sz="4" w:color="BDC3C7"/>
              <w:bottom w:val="single" w:sz="4" w:color="BDC3C7"/>
              <w:left w:val="single" w:sz="4" w:color="BDC3C7"/>
              <w:right w:val="single" w:sz="4" w:color="BDC3C7"/>
            </w:tcBorders>
          </w:tcPr>
          <w:p>
            <w:r>
              <w:t>+0.000</w:t>
            </w:r>
          </w:p>
        </w:tc>
        <w:tc>
          <w:tcPr>
            <w:tcW w:type="dxa" w:w="1958"/>
            <w:tcBorders>
              <w:top w:val="single" w:sz="4" w:color="BDC3C7"/>
              <w:bottom w:val="single" w:sz="4" w:color="BDC3C7"/>
              <w:left w:val="single" w:sz="4" w:color="BDC3C7"/>
              <w:right w:val="single" w:sz="4" w:color="BDC3C7"/>
            </w:tcBorders>
          </w:tcPr>
          <w:p>
            <w:r>
              <w:t>0.40</w:t>
            </w:r>
          </w:p>
        </w:tc>
      </w:tr>
    </w:tbl>
    <w:p>
      <w:r>
        <w:t>Priced in: not fully — Variant (+3.6%) exceeds implied move (3.7%). Short interest 8.8% neutral</w:t>
      </w:r>
    </w:p>
    <w:p>
      <w:r>
        <w:t>Edge verdict: ACTIONABLE_EDGE (score 0.145).</w:t>
      </w:r>
    </w:p>
    <w:p>
      <w:pPr>
        <w:pStyle w:val="PullQuote"/>
      </w:pPr>
      <w:r>
        <w:t>Counter: the analyst claims FY2027 EPS of $0.75 underprices the margin expansion path to 30%+ Adj. EBITDA, implying EPS well above consensus — but The quarterly income statement shows Q1 2026 net margin of -1.8% and operating margin of 7.9%. The deck guides 200-225 bps of Adj. EBITDA MARGIN EXPANSION — a modest improvement — not a target of 30%+ Adj. EBITDA margin level. The analyst has not constructed a GAAP bridge from Adj. EBITDA to EPS, which must account for: (1) SBC expense, which at growth-stage tech companies often represents 8-15%…</w:t>
      </w:r>
    </w:p>
    <w:p>
      <w:pPr>
        <w:pStyle w:val="SectionHeading"/>
      </w:pPr>
      <w:r>
        <w:t>4. Catalysts</w:t>
      </w:r>
    </w:p>
    <w:p>
      <w:pPr>
        <w:pStyle w:val="ListBullet"/>
      </w:pPr>
      <w:r>
        <w:t>Next quarterly earnings report (2026-07-28 (28 days)) — resolves revenue + margins + guidance; confirms or challenges</w:t>
      </w:r>
    </w:p>
    <w:p>
      <w:pPr>
        <w:pStyle w:val="ListBullet"/>
      </w:pPr>
      <w:r>
        <w:t>Resolution: Management's 23-25% constant currency revenue growth guidance is achievable and  (Multi-year thesis -- patience required) — resolves FY2026 Revenue Growth; confirms or challenges</w:t>
      </w:r>
    </w:p>
    <w:p>
      <w:pPr>
        <w:pStyle w:val="ListBullet"/>
      </w:pPr>
      <w:r>
        <w:t>Resolution: The Muddy Waters allegations are non-fundamental and the insider buying signals  (Multi-year thesis -- patience required) — resolves FY2026 Revenue Growth; confirms or challenges</w:t>
      </w:r>
    </w:p>
    <w:p>
      <w:pPr>
        <w:pStyle w:val="ListBullet"/>
      </w:pPr>
      <w:r>
        <w:t>Resolution: Operating leverage will drive Adjusted EBITDA margin to 25%+ in FY2026 and 30%+  (Multi-year thesis -- patience required) — resolves Operating Expense Leverage; confirms or challenges</w:t>
      </w:r>
    </w:p>
    <w:p>
      <w:pPr>
        <w:pStyle w:val="ListBullet"/>
      </w:pPr>
      <w:r>
        <w:t>Revenue breakdown between licensed and unlicensed/gray-market operators — management refused to quan (Unknown timing) — resolves multiple; resolves uncertainty</w:t>
      </w:r>
    </w:p>
    <w:p>
      <w:pPr>
        <w:pStyle w:val="ListBullet"/>
      </w:pPr>
      <w:r>
        <w:t>Kalshi prediction markets partnership revenue sizing — management cited it as the 'biggest' H2 2026  (Unknown timing) — resolves multiple; resolves uncertainty</w:t>
      </w:r>
    </w:p>
    <w:p>
      <w:pPr>
        <w:pStyle w:val="SectionHeading"/>
      </w:pPr>
      <w:r>
        <w:t>5. Risks, Blind Spots &amp; Kill Criteria</w:t>
      </w:r>
    </w:p>
    <w:p>
      <w:pPr>
        <w:pStyle w:val="SubHeading"/>
      </w:pPr>
      <w:r>
        <w:t>Top risks:</w:t>
      </w:r>
    </w:p>
    <w:p>
      <w:pPr>
        <w:pStyle w:val="ListBullet"/>
      </w:pPr>
      <w:r>
        <w:t>The Muddy Waters allegations are non-fundamental and the insider buying signals the allegations are non-existential — counter: The CFO explicitly refused to quantify revenue from licensed vs. unlicensed operators when directly asked on the Q1 2026 call ('Curious if you're willing to quantify and say with confidence what your revenue mix is for operators in black illegal markets'). A clean answer would have been the most effective rebuttal. The non-answer is the single most concerning data point in the corpus and leaves open the possibility that the revenue exposure to non-compliant operators is material enough that management cannot comfortably disclose it. [serious]</w:t>
      </w:r>
    </w:p>
    <w:p>
      <w:pPr>
        <w:pStyle w:val="ListBullet2"/>
      </w:pPr>
      <w:r>
        <w:rPr>
          <w:i/>
        </w:rPr>
        <w:t>→ Research confirms: Multiple authoritative sources directly confirm the April 22, 2026 Muddy Waters/Callisto short reports triggered a 22% single-day stock collapse in SRAD. The specific percentage and date are verified across legal filings and news sources. (prnewswire.com)</w:t>
      </w:r>
    </w:p>
    <w:p>
      <w:pPr>
        <w:pStyle w:val="ListBullet2"/>
      </w:pPr>
      <w:r>
        <w:rPr>
          <w:i/>
        </w:rPr>
        <w:t>→ Research: Search confirms three regulators in North America and Europe have already commenced formal reviews of Sportradar post-Muddy Waters (April 22, 2026). This directly addresses the missing_angle: regulatory action is not absent—formal inquiries are underway. (prnewswire.com)</w:t>
      </w:r>
    </w:p>
    <w:p>
      <w:pPr>
        <w:pStyle w:val="ListBullet"/>
      </w:pPr>
      <w:r>
        <w:t>The analyst recommends a SHORT direction on SRAD — counter: The three-part edge hypothesis is entirely BULLISH in construction — consensus revenue sits below management guidance, EPS is understated, and prediction markets are unmodeled upside. All three legs argue the stock is UNDERVALUED. Yet the direction field says SHORT. This is the single most disqualifying flaw in the pitch: the analyst has internally built a long thesis and labeled it a short. No reconciliation is offered anywhere in the pitch for how bullish fundamental assumptions support a short position. [serious]</w:t>
      </w:r>
    </w:p>
    <w:p>
      <w:pPr>
        <w:pStyle w:val="ListBullet"/>
      </w:pPr>
      <w:r>
        <w:t>Consensus FY2026 revenue of $1,559M sits ~3% below management's guided midpoint of ~$1,610M — counter: The investor deck (page 3, deck_digest) shows management guiding 23%-25% revenue growth in constant currency. Starting from FY2025 actual revenue of $1,239.1M (filing), the midpoint of 24% growth implies ~$1,536M in reported terms before FX, not ~$1,610M. The analyst appears to have applied the constant-currency growth rate to a wrong base or failed to deduct the FX headwind they themselves model at -1%. If consensus is at $1,559M and the actual constant-currency midpoint implies ~$1,536-1,545M in reported terms after FX, consensus may actually be ABOVE management's realistic reported-dollar midpoint — the opposite of what the analyst claims. This collapses the 'consensus gap' leg of the thesis. [serious]</w:t>
      </w:r>
    </w:p>
    <w:p>
      <w:pPr>
        <w:pStyle w:val="SubHeading"/>
      </w:pPr>
      <w:r>
        <w:t>Blind spots (auditor-independent):</w:t>
      </w:r>
    </w:p>
    <w:p>
      <w:pPr>
        <w:pStyle w:val="ListBullet"/>
      </w:pPr>
      <w:r>
        <w:t>The analyst does not notice — or does not acknowledge — that the SHORT direction contradicts every element of the three-part bullish edge hypothesis. This is not a stylistic error; it means the analyst likely has no position conviction framework.</w:t>
      </w:r>
    </w:p>
    <w:p>
      <w:pPr>
        <w:pStyle w:val="ListBullet"/>
      </w:pPr>
      <w:r>
        <w:t>Securities class action litigation risk is not modeled at all. Four separate plaintiffs' firms have filed or announced investigations as of June 30, 2026. Discovery could compel disclosure of black-market operator contract details that trigger regulatory forced termination or operator churn. This is a left-tail event the pitch treats as purely a sentiment event.</w:t>
      </w:r>
    </w:p>
    <w:p>
      <w:pPr>
        <w:pStyle w:val="ListBullet"/>
      </w:pPr>
      <w:r>
        <w:t>The analyst never checks whether the Kalshi prediction markets deal is subject to CFTC regulatory approval risk. If CFTC determines prediction market event contracts on sports outcomes are prohibited or requires exchange licensing, the entire optionality leg collapses before generating a dollar of revenue.</w:t>
      </w:r>
    </w:p>
    <w:p>
      <w:pPr>
        <w:pStyle w:val="KillCriteria"/>
      </w:pPr>
      <w:r>
        <w:t>What would change our mind: Unable to close gap: Revenue breakdown between licensed and unlicensed/gray-market operators — management refused to quantify this on the Q1 2026 call, and it is the central unknown for the Muddy Waters thesis</w:t>
      </w:r>
    </w:p>
    <w:p>
      <w:pPr>
        <w:pStyle w:val="SectionHeading"/>
      </w:pPr>
      <w:r>
        <w:t>Appendix</w:t>
      </w:r>
    </w:p>
    <w:p>
      <w:pPr>
        <w:pStyle w:val="SubHeading"/>
      </w:pPr>
      <w:r>
        <w:t>Business context:</w:t>
      </w:r>
    </w:p>
    <w:p>
      <w:r>
        <w:t>Sportradar is the #1 B2B global sports technology company, providing data, odds, streaming, and managed trading services to betting operators, media companies, and sports leagues across 85 sports and 1M+ matches annually. It earns revenue primarily through long-term contracts with sportsbooks and media partners for live data feeds, odds generation, streaming rights, and managed trading services, with a secondary segment in sports content/media services.</w:t>
      </w:r>
    </w:p>
    <w:p>
      <w:pPr>
        <w:pStyle w:val="SubHeading"/>
      </w:pPr>
      <w:r>
        <w:t>Evidence gaps (research TODO):</w:t>
      </w:r>
    </w:p>
    <w:p>
      <w:pPr>
        <w:pStyle w:val="ListBullet"/>
      </w:pPr>
      <w:r>
        <w:t>Revenue breakdown between licensed and unlicensed/gray-market operators — management refused to quantify this on the Q1 2026 call, and it is the central unknown for the Muddy Waters thesis</w:t>
      </w:r>
    </w:p>
    <w:p>
      <w:pPr>
        <w:pStyle w:val="ListBullet"/>
      </w:pPr>
      <w:r>
        <w:t>Kalshi prediction markets partnership revenue sizing — management cited it as the 'biggest' H2 2026 confidence driver but provided no dollar estimate; the Q2 2026 call (expected late July/early August 2026) is the first opportunity for quantification</w:t>
      </w:r>
    </w:p>
    <w:p>
      <w:pPr>
        <w:pStyle w:val="ListBullet"/>
      </w:pPr>
      <w:r>
        <w:t>Segment-level EBITDA or margin breakdown (Betting Technology &amp; Solutions vs. Sports Content, Technology &amp; Services) — only revenue is disclosed per segment, making it impossible to assess which segment is driving the margin expansion</w:t>
      </w:r>
    </w:p>
    <w:p>
      <w:pPr>
        <w:pStyle w:val="ListBullet"/>
      </w:pPr>
      <w:r>
        <w:t>U.S. vs. Rest-of-World profitability split — U.S. revenue grew only 4% reported in Q1 2026 (vs. 14% ROW), but no margin data by geography is disclosed</w:t>
      </w:r>
    </w:p>
    <w:p>
      <w:pPr>
        <w:pStyle w:val="ListBullet"/>
      </w:pPr>
      <w:r>
        <w:t>Specific revenue contribution from IMG Arena in FY2025 and FY2026 — management describes synergies qualitatively but has not disclosed the standalone IMG revenue run-rate, making it impossible to assess organic vs. acquisition-driven growth</w:t>
      </w:r>
    </w:p>
    <w:p>
      <w:pPr>
        <w:pStyle w:val="ListBullet"/>
      </w:pPr>
      <w:r>
        <w:t>CFTC regulatory status of sports prediction market contracts — the regulatory framework for prediction markets is still evolving, and a negative CFTC ruling could eliminate the prediction market revenue opportunity entirely</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Title"/>
    <w:pPr>
      <w:spacing w:before="0" w:after="40" w:line="276" w:lineRule="auto"/>
    </w:pPr>
    <w:rPr>
      <w:rFonts w:ascii="Calibri" w:hAnsi="Calibri"/>
      <w:b/>
      <w:i w:val="0"/>
      <w:color w:val="0F2A4E"/>
      <w:sz w:val="40"/>
    </w:rPr>
  </w:style>
  <w:style w:type="paragraph" w:customStyle="1" w:styleId="SectionHeading">
    <w:name w:val="SectionHeading"/>
    <w:pPr>
      <w:spacing w:before="280" w:after="80" w:line="276" w:lineRule="auto"/>
    </w:pPr>
    <w:rPr>
      <w:rFonts w:ascii="Calibri" w:hAnsi="Calibri"/>
      <w:b/>
      <w:i w:val="0"/>
      <w:color w:val="0F2A4E"/>
      <w:sz w:val="28"/>
    </w:rPr>
  </w:style>
  <w:style w:type="paragraph" w:customStyle="1" w:styleId="SubHeading">
    <w:name w:val="SubHeading"/>
    <w:pPr>
      <w:spacing w:before="120" w:after="40" w:line="276" w:lineRule="auto"/>
    </w:pPr>
    <w:rPr>
      <w:rFonts w:ascii="Calibri" w:hAnsi="Calibri"/>
      <w:b/>
      <w:i w:val="0"/>
      <w:color w:val="334B6B"/>
      <w:sz w:val="22"/>
    </w:rPr>
  </w:style>
  <w:style w:type="paragraph" w:customStyle="1" w:styleId="PullQuote">
    <w:name w:val="PullQuote"/>
    <w:pPr>
      <w:spacing w:before="80" w:after="120" w:line="276" w:lineRule="auto"/>
      <w:ind w:left="432"/>
    </w:pPr>
    <w:rPr>
      <w:rFonts w:ascii="Calibri" w:hAnsi="Calibri"/>
      <w:b w:val="0"/>
      <w:i/>
      <w:color w:val="555555"/>
      <w:sz w:val="21"/>
    </w:rPr>
  </w:style>
  <w:style w:type="paragraph" w:customStyle="1" w:styleId="KillCriteria">
    <w:name w:val="KillCriteria"/>
    <w:pPr>
      <w:spacing w:before="120" w:after="120" w:line="276" w:lineRule="auto"/>
    </w:pPr>
    <w:rPr>
      <w:rFonts w:ascii="Calibri" w:hAnsi="Calibri"/>
      <w:b/>
      <w:i w:val="0"/>
      <w:color w:val="8C1D40"/>
      <w:sz w:val="21"/>
    </w:rPr>
  </w:style>
  <w:style w:type="paragraph" w:customStyle="1" w:styleId="WarningBanner">
    <w:name w:val="WarningBanner"/>
    <w:pPr>
      <w:spacing w:before="80" w:after="80" w:line="276" w:lineRule="auto"/>
    </w:pPr>
    <w:rPr>
      <w:rFonts w:ascii="Calibri" w:hAnsi="Calibri"/>
      <w:b/>
      <w:i w:val="0"/>
      <w:color w:val="8C1D40"/>
      <w:sz w:val="22"/>
    </w:rPr>
  </w:style>
  <w:style w:type="paragraph" w:customStyle="1" w:styleId="ReportBullet">
    <w:name w:val="ReportBullet"/>
    <w:pPr>
      <w:spacing w:before="0" w:after="60" w:line="276" w:lineRule="auto"/>
    </w:pPr>
    <w:rPr>
      <w:rFonts w:ascii="Calibri" w:hAnsi="Calibri"/>
      <w:b w:val="0"/>
      <w:i w:val="0"/>
      <w:color w:val="1A1A1A"/>
      <w:sz w:val="21"/>
    </w:rPr>
  </w:style>
  <w:style w:type="paragraph" w:customStyle="1" w:styleId="ReportCaption">
    <w:name w:val="ReportCaption"/>
    <w:pPr>
      <w:spacing w:before="40" w:after="40" w:line="276" w:lineRule="auto"/>
    </w:pPr>
    <w:rPr>
      <w:rFonts w:ascii="Calibri" w:hAnsi="Calibri"/>
      <w:b w:val="0"/>
      <w:i/>
      <w:color w:val="555555"/>
      <w:sz w:val="18"/>
    </w:rPr>
  </w:style>
  <w:style w:type="paragraph" w:customStyle="1" w:styleId="SmallMeta">
    <w:name w:val="SmallMeta"/>
    <w:pPr>
      <w:spacing w:before="0" w:after="80" w:line="276" w:lineRule="auto"/>
    </w:pPr>
    <w:rPr>
      <w:rFonts w:ascii="Calibri" w:hAnsi="Calibri"/>
      <w:b w:val="0"/>
      <w:i w:val="0"/>
      <w:color w:val="5555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