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6577A8">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6577A8">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6577A8">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w:t>
            </w:r>
            <w:proofErr w:type="gramStart"/>
            <w:r w:rsidRPr="00FB661A">
              <w:rPr>
                <w:rFonts w:ascii="Courier New" w:hAnsi="Courier New" w:cs="Courier New"/>
                <w:sz w:val="20"/>
                <w:szCs w:val="20"/>
                <w:lang w:val="en-GB"/>
              </w:rPr>
              <w:t>e.g.</w:t>
            </w:r>
            <w:proofErr w:type="gramEnd"/>
            <w:r w:rsidRPr="00FB661A">
              <w:rPr>
                <w:rFonts w:ascii="Courier New" w:hAnsi="Courier New" w:cs="Courier New"/>
                <w:sz w:val="20"/>
                <w:szCs w:val="20"/>
                <w:lang w:val="en-GB"/>
              </w:rPr>
              <w:t xml:space="preserve">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proofErr w:type="gramStart"/>
      <w:r w:rsidR="00017622">
        <w:rPr>
          <w:lang w:val="en-GB"/>
        </w:rPr>
        <w:t>e.g.</w:t>
      </w:r>
      <w:proofErr w:type="gramEnd"/>
      <w:r w:rsidR="00017622">
        <w:rPr>
          <w:lang w:val="en-GB"/>
        </w:rPr>
        <w:t xml:space="preserve">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w:t>
      </w:r>
      <w:proofErr w:type="spellStart"/>
      <w:r>
        <w:rPr>
          <w:lang w:val="en-GB"/>
        </w:rPr>
        <w:t>ZimStat</w:t>
      </w:r>
      <w:proofErr w:type="spellEnd"/>
      <w:r>
        <w:rPr>
          <w:lang w:val="en-GB"/>
        </w:rPr>
        <w:t xml:space="preserve">,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lastRenderedPageBreak/>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132A93CB" w:rsidR="002A2651" w:rsidRDefault="006D37F3" w:rsidP="002A2651">
      <w:pPr>
        <w:rPr>
          <w:lang w:val="en-GB"/>
        </w:rPr>
      </w:pPr>
      <w:r>
        <w:rPr>
          <w:lang w:val="en-GB"/>
        </w:rPr>
        <w:t>P</w:t>
      </w:r>
      <w:r w:rsidRPr="007D5DF5">
        <w:rPr>
          <w:lang w:val="en-GB"/>
        </w:rPr>
        <w:t>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w:t>
      </w:r>
      <w:proofErr w:type="gramStart"/>
      <w:r w:rsidR="00071F9C">
        <w:rPr>
          <w:lang w:val="en-GB"/>
        </w:rPr>
        <w:t>e.g.</w:t>
      </w:r>
      <w:proofErr w:type="gramEnd"/>
      <w:r w:rsidR="00071F9C">
        <w:rPr>
          <w:lang w:val="en-GB"/>
        </w:rPr>
        <w:t xml:space="preserve">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w:t>
      </w:r>
      <w:proofErr w:type="gramStart"/>
      <w:r w:rsidRPr="005953DC">
        <w:rPr>
          <w:lang w:val="en-GB"/>
        </w:rPr>
        <w:t>i.e.</w:t>
      </w:r>
      <w:proofErr w:type="gramEnd"/>
      <w:r w:rsidRPr="005953DC">
        <w:rPr>
          <w:lang w:val="en-GB"/>
        </w:rPr>
        <w:t xml:space="preserv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 xml:space="preserve">In case a household survey is conducted more than once per year – </w:t>
      </w:r>
      <w:proofErr w:type="gramStart"/>
      <w:r w:rsidRPr="005953DC">
        <w:rPr>
          <w:lang w:val="en-GB"/>
        </w:rPr>
        <w:t>e.g.</w:t>
      </w:r>
      <w:proofErr w:type="gramEnd"/>
      <w:r w:rsidRPr="005953DC">
        <w:rPr>
          <w:lang w:val="en-GB"/>
        </w:rPr>
        <w:t xml:space="preserve">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w:t>
      </w:r>
      <w:proofErr w:type="gramStart"/>
      <w:r w:rsidRPr="005953DC">
        <w:rPr>
          <w:lang w:val="en-GB"/>
        </w:rPr>
        <w:t>i.e.</w:t>
      </w:r>
      <w:proofErr w:type="gramEnd"/>
      <w:r w:rsidRPr="005953DC">
        <w:rPr>
          <w:lang w:val="en-GB"/>
        </w:rPr>
        <w:t xml:space="preserv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w:t>
            </w:r>
            <w:proofErr w:type="gramStart"/>
            <w:r w:rsidRPr="00F74FA2">
              <w:rPr>
                <w:sz w:val="18"/>
              </w:rPr>
              <w:t>e.g.</w:t>
            </w:r>
            <w:proofErr w:type="gramEnd"/>
            <w:r w:rsidRPr="00F74FA2">
              <w:rPr>
                <w:sz w:val="18"/>
              </w:rPr>
              <w:t xml:space="preserve">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351DD94C"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proofErr w:type="spellStart"/>
      <w:r w:rsidRPr="004D3744">
        <w:rPr>
          <w:i/>
          <w:iCs/>
          <w:lang w:val="en-GB"/>
        </w:rPr>
        <w:t>subnatid</w:t>
      </w:r>
      <w:proofErr w:type="spellEnd"/>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sidRPr="004D3744">
        <w:rPr>
          <w:i/>
          <w:iCs/>
          <w:lang w:val="en-GB"/>
        </w:rPr>
        <w:t>subnatidsurvey</w:t>
      </w:r>
      <w:proofErr w:type="spellEnd"/>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country-specific.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189AE9E1" w:rsidR="00CA3CF8" w:rsidRDefault="00CA3CF8" w:rsidP="00CA3CF8">
      <w:pPr>
        <w:pStyle w:val="Heading3"/>
      </w:pPr>
      <w:proofErr w:type="spellStart"/>
      <w:r>
        <w:t>vocational_field</w:t>
      </w:r>
      <w:r w:rsidR="00A43514">
        <w:t>_orig</w:t>
      </w:r>
      <w:proofErr w:type="spellEnd"/>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proofErr w:type="spellStart"/>
            <w:r w:rsidRPr="00DD218F">
              <w:rPr>
                <w:sz w:val="18"/>
              </w:rPr>
              <w:t>vocational_field</w:t>
            </w:r>
            <w:r w:rsidR="00A43514" w:rsidRPr="00A43514">
              <w:rPr>
                <w:sz w:val="18"/>
              </w:rPr>
              <w:t>_orig</w:t>
            </w:r>
            <w:proofErr w:type="spellEnd"/>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proofErr w:type="spellStart"/>
      <w:r>
        <w:lastRenderedPageBreak/>
        <w:t>Labour</w:t>
      </w:r>
      <w:bookmarkEnd w:id="37"/>
      <w:proofErr w:type="spellEnd"/>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proofErr w:type="spellStart"/>
      <w:r>
        <w:t>Labour</w:t>
      </w:r>
      <w:proofErr w:type="spellEnd"/>
      <w:r>
        <w:t xml:space="preserve"> status, 7-day reference period</w:t>
      </w:r>
      <w:bookmarkEnd w:id="39"/>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w:t>
      </w:r>
      <w:proofErr w:type="spellStart"/>
      <w:r w:rsidR="0057563A">
        <w:rPr>
          <w:rFonts w:eastAsia="Times New Roman"/>
        </w:rPr>
        <w:t>labour</w:t>
      </w:r>
      <w:proofErr w:type="spellEnd"/>
      <w:r w:rsidR="0057563A">
        <w:rPr>
          <w:rFonts w:eastAsia="Times New Roman"/>
        </w:rPr>
        <w:t xml:space="preserve">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 xml:space="preserve">The variable </w:t>
      </w:r>
      <w:proofErr w:type="spellStart"/>
      <w:r>
        <w:rPr>
          <w:rFonts w:eastAsia="Times New Roman"/>
        </w:rPr>
        <w:t>potential_lf</w:t>
      </w:r>
      <w:proofErr w:type="spellEnd"/>
      <w:r>
        <w:rPr>
          <w:rFonts w:eastAsia="Times New Roman"/>
        </w:rPr>
        <w:t xml:space="preserve"> thus c</w:t>
      </w:r>
      <w:r w:rsidR="00FE3EFE">
        <w:rPr>
          <w:rFonts w:eastAsia="Times New Roman"/>
        </w:rPr>
        <w:t xml:space="preserve">odifies whether the person is not in the </w:t>
      </w:r>
      <w:proofErr w:type="spellStart"/>
      <w:r w:rsidR="00FE3EFE">
        <w:rPr>
          <w:rFonts w:eastAsia="Times New Roman"/>
        </w:rPr>
        <w:t>labour</w:t>
      </w:r>
      <w:proofErr w:type="spellEnd"/>
      <w:r w:rsidR="00FE3EFE">
        <w:rPr>
          <w:rFonts w:eastAsia="Times New Roman"/>
        </w:rPr>
        <w:t xml:space="preserve"> force over the past 7 days (</w:t>
      </w:r>
      <w:proofErr w:type="spellStart"/>
      <w:r w:rsidR="00FE3EFE">
        <w:rPr>
          <w:rFonts w:eastAsia="Times New Roman"/>
        </w:rPr>
        <w:t>lstatus</w:t>
      </w:r>
      <w:proofErr w:type="spellEnd"/>
      <w:r w:rsidR="00FE3EFE">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lastRenderedPageBreak/>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w:t>
      </w:r>
      <w:proofErr w:type="gramStart"/>
      <w:r>
        <w:t>Public</w:t>
      </w:r>
      <w:proofErr w:type="gramEnd"/>
      <w:r>
        <w:t xml:space="preserve">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5DBF8F1C"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Code 6 should not be considered part of the private sector</w:t>
      </w:r>
      <w:r>
        <w:rPr>
          <w:lang w:val="en-GB"/>
        </w:rPr>
        <w:t>.</w:t>
      </w:r>
    </w:p>
    <w:p w14:paraId="18E1FDF7" w14:textId="30D8A993" w:rsidR="00ED6B32" w:rsidRDefault="00ED6B32" w:rsidP="005E54FC">
      <w:pPr>
        <w:rPr>
          <w:lang w:val="en-GB"/>
        </w:rPr>
      </w:pPr>
    </w:p>
    <w:p w14:paraId="35E230A5" w14:textId="018B58DF" w:rsidR="00DD215A" w:rsidRDefault="00ED6B32" w:rsidP="005E54FC">
      <w:pPr>
        <w:rPr>
          <w:lang w:val="en-GB"/>
        </w:rPr>
      </w:pPr>
      <w:r>
        <w:rPr>
          <w:lang w:val="en-GB"/>
        </w:rPr>
        <w:t>Coding would then be</w:t>
      </w:r>
      <w:r w:rsidR="00DD215A">
        <w:rPr>
          <w:lang w:val="en-GB"/>
        </w:rPr>
        <w:t xml:space="preserve"> (assuming the original question is called </w:t>
      </w:r>
      <w:proofErr w:type="spellStart"/>
      <w:r w:rsidR="00DD215A">
        <w:rPr>
          <w:lang w:val="en-GB"/>
        </w:rPr>
        <w:t>var_sector</w:t>
      </w:r>
      <w:proofErr w:type="spellEnd"/>
      <w:r w:rsidR="00DD215A">
        <w:rPr>
          <w:lang w:val="en-GB"/>
        </w:rPr>
        <w:t>):</w:t>
      </w:r>
    </w:p>
    <w:p w14:paraId="59DD0C39" w14:textId="77777777" w:rsidR="00DD215A" w:rsidRDefault="00DD215A" w:rsidP="005E54FC">
      <w:pPr>
        <w:rPr>
          <w:lang w:val="en-GB"/>
        </w:rPr>
      </w:pPr>
    </w:p>
    <w:p w14:paraId="52BE6240"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lastRenderedPageBreak/>
        <w:t xml:space="preserve">gen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w:t>
      </w:r>
      <w:proofErr w:type="gramStart"/>
      <w:r w:rsidRPr="00DD215A">
        <w:rPr>
          <w:rFonts w:ascii="Courier New" w:hAnsi="Courier New" w:cs="Courier New"/>
          <w:lang w:val="en-GB"/>
        </w:rPr>
        <w:t>= .</w:t>
      </w:r>
      <w:proofErr w:type="gramEnd"/>
    </w:p>
    <w:p w14:paraId="6CCC1A3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1 if </w:t>
      </w:r>
      <w:proofErr w:type="spellStart"/>
      <w:r w:rsidRPr="00DD215A">
        <w:rPr>
          <w:rFonts w:ascii="Courier New" w:hAnsi="Courier New" w:cs="Courier New"/>
          <w:lang w:val="en-GB"/>
        </w:rPr>
        <w:t>inrange</w:t>
      </w:r>
      <w:proofErr w:type="spellEnd"/>
      <w:r w:rsidRPr="00DD215A">
        <w:rPr>
          <w:rFonts w:ascii="Courier New" w:hAnsi="Courier New" w:cs="Courier New"/>
          <w:lang w:val="en-GB"/>
        </w:rPr>
        <w:t>(var_sector,1,3)</w:t>
      </w:r>
    </w:p>
    <w:p w14:paraId="6D16E8E7"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2 if </w:t>
      </w:r>
      <w:proofErr w:type="spellStart"/>
      <w:r w:rsidRPr="00DD215A">
        <w:rPr>
          <w:rFonts w:ascii="Courier New" w:hAnsi="Courier New" w:cs="Courier New"/>
          <w:lang w:val="en-GB"/>
        </w:rPr>
        <w:t>inrange</w:t>
      </w:r>
      <w:proofErr w:type="spellEnd"/>
      <w:r w:rsidRPr="00DD215A">
        <w:rPr>
          <w:rFonts w:ascii="Courier New" w:hAnsi="Courier New" w:cs="Courier New"/>
          <w:lang w:val="en-GB"/>
        </w:rPr>
        <w:t>(var_sector,5,9)</w:t>
      </w:r>
    </w:p>
    <w:p w14:paraId="22F1CAD9"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3 if </w:t>
      </w:r>
      <w:proofErr w:type="spellStart"/>
      <w:r w:rsidRPr="00DD215A">
        <w:rPr>
          <w:rFonts w:ascii="Courier New" w:hAnsi="Courier New" w:cs="Courier New"/>
          <w:lang w:val="en-GB"/>
        </w:rPr>
        <w:t>var_sector</w:t>
      </w:r>
      <w:proofErr w:type="spellEnd"/>
      <w:r w:rsidRPr="00DD215A">
        <w:rPr>
          <w:rFonts w:ascii="Courier New" w:hAnsi="Courier New" w:cs="Courier New"/>
          <w:lang w:val="en-GB"/>
        </w:rPr>
        <w:t xml:space="preserve"> == 4</w:t>
      </w:r>
    </w:p>
    <w:p w14:paraId="25167F18" w14:textId="77777777" w:rsidR="00DD215A" w:rsidRPr="00DD215A" w:rsidRDefault="00DD215A" w:rsidP="00DD215A">
      <w:pPr>
        <w:ind w:left="720"/>
        <w:rPr>
          <w:rFonts w:ascii="Courier New" w:hAnsi="Courier New" w:cs="Courier New"/>
          <w:lang w:val="en-GB"/>
        </w:rPr>
      </w:pPr>
      <w:r w:rsidRPr="00DD215A">
        <w:rPr>
          <w:rFonts w:ascii="Courier New" w:hAnsi="Courier New" w:cs="Courier New"/>
          <w:lang w:val="en-GB"/>
        </w:rPr>
        <w:t xml:space="preserve">replace </w:t>
      </w:r>
      <w:proofErr w:type="spellStart"/>
      <w:r w:rsidRPr="00DD215A">
        <w:rPr>
          <w:rFonts w:ascii="Courier New" w:hAnsi="Courier New" w:cs="Courier New"/>
          <w:lang w:val="en-GB"/>
        </w:rPr>
        <w:t>ocusec</w:t>
      </w:r>
      <w:proofErr w:type="spellEnd"/>
      <w:r w:rsidRPr="00DD215A">
        <w:rPr>
          <w:rFonts w:ascii="Courier New" w:hAnsi="Courier New" w:cs="Courier New"/>
          <w:lang w:val="en-GB"/>
        </w:rPr>
        <w:t xml:space="preserve"> = 4 if </w:t>
      </w:r>
      <w:proofErr w:type="spellStart"/>
      <w:r w:rsidRPr="00DD215A">
        <w:rPr>
          <w:rFonts w:ascii="Courier New" w:hAnsi="Courier New" w:cs="Courier New"/>
          <w:lang w:val="en-GB"/>
        </w:rPr>
        <w:t>var_sector</w:t>
      </w:r>
      <w:proofErr w:type="spellEnd"/>
      <w:r w:rsidRPr="00DD215A">
        <w:rPr>
          <w:rFonts w:ascii="Courier New" w:hAnsi="Courier New" w:cs="Courier New"/>
          <w:lang w:val="en-GB"/>
        </w:rPr>
        <w:t xml:space="preserve"> == 10</w:t>
      </w:r>
    </w:p>
    <w:p w14:paraId="5C49428F" w14:textId="77777777" w:rsidR="00DD215A" w:rsidRDefault="00DD215A" w:rsidP="00DD215A">
      <w:pPr>
        <w:rPr>
          <w:lang w:val="en-GB"/>
        </w:rPr>
      </w:pPr>
    </w:p>
    <w:bookmarkEnd w:id="41"/>
    <w:p w14:paraId="7C2B2055" w14:textId="46AF2E3A" w:rsidR="005E54FC" w:rsidRDefault="005E54FC" w:rsidP="005E54FC">
      <w:r w:rsidRPr="00DD215A">
        <w:rPr>
          <w:i/>
          <w:iCs/>
          <w:u w:val="single"/>
        </w:rPr>
        <w:t>Notes</w:t>
      </w:r>
      <w:r>
        <w:t>:</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lastRenderedPageBreak/>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lastRenderedPageBreak/>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 xml:space="preserve">Select this option is the questionnaire does not ask for State-owned enterprises, and only for </w:t>
      </w:r>
      <w:proofErr w:type="gramStart"/>
      <w:r>
        <w:t>Public</w:t>
      </w:r>
      <w:proofErr w:type="gramEnd"/>
      <w:r>
        <w:t xml:space="preserve">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 xml:space="preserve">is </w:t>
      </w:r>
      <w:proofErr w:type="gramStart"/>
      <w:r>
        <w:t>categorical</w:t>
      </w:r>
      <w:proofErr w:type="gramEnd"/>
      <w:r>
        <w:t xml:space="preserve">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 xml:space="preserve">Select this option is the questionnaire does not ask for State-owned enterprises, and only for </w:t>
      </w:r>
      <w:proofErr w:type="gramStart"/>
      <w:r>
        <w:t>Public</w:t>
      </w:r>
      <w:proofErr w:type="gramEnd"/>
      <w:r>
        <w:t xml:space="preserve">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 xml:space="preserve">Select this option is the questionnaire does not ask for State-owned enterprises, and only for </w:t>
      </w:r>
      <w:proofErr w:type="gramStart"/>
      <w:r>
        <w:t>Public</w:t>
      </w:r>
      <w:proofErr w:type="gramEnd"/>
      <w:r>
        <w:t xml:space="preserve">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w:t>
      </w:r>
      <w:proofErr w:type="gramStart"/>
      <w:r w:rsidRPr="00997E6F">
        <w:rPr>
          <w:rFonts w:ascii="Courier New" w:hAnsi="Courier New" w:cs="Courier New"/>
        </w:rPr>
        <w:t>10!=</w:t>
      </w:r>
      <w:proofErr w:type="gramEnd"/>
      <w:r w:rsidRPr="00997E6F">
        <w:rPr>
          <w:rFonts w:ascii="Courier New" w:hAnsi="Courier New" w:cs="Courier New"/>
        </w:rPr>
        <w:t>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w:t>
            </w:r>
            <w:proofErr w:type="gramStart"/>
            <w:r w:rsidRPr="00D62929">
              <w:rPr>
                <w:sz w:val="18"/>
              </w:rPr>
              <w:t>7 day</w:t>
            </w:r>
            <w:proofErr w:type="gramEnd"/>
            <w:r w:rsidRPr="00D62929">
              <w:rPr>
                <w:sz w:val="18"/>
              </w:rPr>
              <w:t xml:space="preserve">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0B0C" w14:textId="77777777" w:rsidR="006577A8" w:rsidRDefault="006577A8" w:rsidP="009E1350">
      <w:pPr>
        <w:spacing w:after="0" w:line="240" w:lineRule="auto"/>
      </w:pPr>
      <w:r>
        <w:separator/>
      </w:r>
    </w:p>
  </w:endnote>
  <w:endnote w:type="continuationSeparator" w:id="0">
    <w:p w14:paraId="4B713040" w14:textId="77777777" w:rsidR="006577A8" w:rsidRDefault="006577A8"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74C5" w14:textId="77777777" w:rsidR="006577A8" w:rsidRDefault="006577A8" w:rsidP="009E1350">
      <w:pPr>
        <w:spacing w:after="0" w:line="240" w:lineRule="auto"/>
      </w:pPr>
      <w:r>
        <w:separator/>
      </w:r>
    </w:p>
  </w:footnote>
  <w:footnote w:type="continuationSeparator" w:id="0">
    <w:p w14:paraId="30ED2B0E" w14:textId="77777777" w:rsidR="006577A8" w:rsidRDefault="006577A8"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577A8"/>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32587"/>
    <w:rsid w:val="00C32E68"/>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415C"/>
    <w:rsid w:val="00DB48E1"/>
    <w:rsid w:val="00DB7EBE"/>
    <w:rsid w:val="00DC2365"/>
    <w:rsid w:val="00DD215A"/>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2a6c10d7-b926-4fc0-945e-3cbf5049f6bd" ContentTypeId="0x010100F4C63C3BD852AE468EAEFD0E6C57C64F02" PreviousValue="false"/>
</file>

<file path=customXml/item3.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3.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6.xml><?xml version="1.0" encoding="utf-8"?>
<ds:datastoreItem xmlns:ds="http://schemas.openxmlformats.org/officeDocument/2006/customXml" ds:itemID="{D2FAAC77-A454-4D07-B982-854E7D157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80</Pages>
  <Words>21975</Words>
  <Characters>125259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476</cp:revision>
  <dcterms:created xsi:type="dcterms:W3CDTF">2021-04-21T10:20:00Z</dcterms:created>
  <dcterms:modified xsi:type="dcterms:W3CDTF">2022-06-23T13:23:00Z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