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 5: Daniele, David, Jullyane, Leandro, Patricia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tb_usuario </w:t>
        <w:br w:type="textWrapping"/>
        <w:br w:type="textWrapping"/>
      </w:r>
    </w:p>
    <w:tbl>
      <w:tblPr>
        <w:tblStyle w:val="Table1"/>
        <w:tblW w:w="7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5235"/>
        <w:tblGridChange w:id="0">
          <w:tblGrid>
            <w:gridCol w:w="2445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nome_completo : 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completo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do usuário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tb_categoria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do medicamento: Antibiótico, Anti-inflamatório e outros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classificacao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Classificação do medicamento: Referência, Similar ou Genérico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ativo :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 utilizado para ativar ou desativar a categoria. Por exemplo: Desativar a classificação similar, pois não serão distribuídos medicamentos similares no posto de saúde por motivos quaisquer.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tb_produto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categoria_id 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da tb_categoria</w:t>
            </w:r>
          </w:p>
        </w:tc>
      </w:tr>
      <w:tr>
        <w:trPr>
          <w:trHeight w:val="75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  <w:t xml:space="preserve">Nome do medicamento. Exemplo:NIMESULIDA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estoque 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Qtde disponível do medicamento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  <w:t xml:space="preserve">Descrição do medicamento.</w:t>
              <w:br w:type="textWrapping"/>
              <w:t xml:space="preserve">Exemplo: 100MG 12 COMPRIMIDOS - EUROFARMA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Posto de saúde em que o medicamento está disponível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municipio_cidade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Município/Cidade do posto de saúde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zona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Zona do posto de saúde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endereco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do posto de saúde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