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Allegato 2 – Scheda del progetto di ricerca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1"/>
          <w:smallCaps w:val="0"/>
          <w:strike w:val="0"/>
          <w:color w:val="000000"/>
          <w:sz w:val="27"/>
          <w:szCs w:val="27"/>
          <w:u w:val="none"/>
          <w:shd w:fill="auto" w:val="clear"/>
          <w:vertAlign w:val="baseline"/>
        </w:rPr>
      </w:pPr>
      <w:r w:rsidDel="00000000" w:rsidR="00000000" w:rsidRPr="00000000">
        <w:rPr>
          <w:rtl w:val="0"/>
        </w:rPr>
      </w:r>
    </w:p>
    <w:tbl>
      <w:tblPr>
        <w:tblStyle w:val="Table1"/>
        <w:tblW w:w="10063.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4"/>
        <w:gridCol w:w="5389"/>
        <w:tblGridChange w:id="0">
          <w:tblGrid>
            <w:gridCol w:w="4674"/>
            <w:gridCol w:w="5389"/>
          </w:tblGrid>
        </w:tblGridChange>
      </w:tblGrid>
      <w:tr>
        <w:trPr>
          <w:cantSplit w:val="0"/>
          <w:trHeight w:val="1108" w:hRule="atLeast"/>
          <w:tblHeader w:val="0"/>
        </w:trPr>
        <w:tc>
          <w:tcPr>
            <w:shd w:fill="deebf6"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Titolo del progetto di ricerca</w:t>
            </w:r>
          </w:p>
        </w:tc>
        <w:tc>
          <w:tcPr/>
          <w:p w:rsidR="00000000" w:rsidDel="00000000" w:rsidP="00000000" w:rsidRDefault="00000000" w:rsidRPr="00000000" w14:paraId="00000007">
            <w:pPr>
              <w:rPr/>
            </w:pPr>
            <w:r w:rsidDel="00000000" w:rsidR="00000000" w:rsidRPr="00000000">
              <w:rPr>
                <w:rtl w:val="0"/>
              </w:rPr>
              <w:t xml:space="preserve">Sicurezza dei dati medici: strumenti di Intelligenza Artificiale Generativa per la condivisione e l’anonimizzazione sicura dei dati.</w:t>
            </w:r>
            <w:r w:rsidDel="00000000" w:rsidR="00000000" w:rsidRPr="00000000">
              <w:rPr>
                <w:rtl w:val="0"/>
              </w:rPr>
            </w:r>
          </w:p>
        </w:tc>
      </w:tr>
      <w:tr>
        <w:trPr>
          <w:cantSplit w:val="0"/>
          <w:trHeight w:val="3127" w:hRule="atLeast"/>
          <w:tblHeader w:val="0"/>
        </w:trPr>
        <w:tc>
          <w:tcPr>
            <w:shd w:fill="deebf6"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Aree di Ricerca e Innovazione sulla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98"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Cybersicurezza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170" w:right="104" w:firstLine="136"/>
              <w:jc w:val="right"/>
              <w:rPr>
                <w:rFonts w:ascii="Calibri" w:cs="Calibri" w:eastAsia="Calibri" w:hAnsi="Calibri"/>
                <w:b w:val="1"/>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1"/>
                <w:smallCaps w:val="0"/>
                <w:strike w:val="0"/>
                <w:color w:val="000000"/>
                <w:sz w:val="18"/>
                <w:szCs w:val="18"/>
                <w:u w:val="none"/>
                <w:shd w:fill="auto" w:val="clear"/>
                <w:vertAlign w:val="baseline"/>
                <w:rtl w:val="0"/>
              </w:rPr>
              <w:t xml:space="preserve">(in conformità a quanto previsto all’articolo 2, comma 1, dell’invito a manifestare interesse, indicare una o più Aree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0" w:right="103" w:firstLine="0"/>
              <w:jc w:val="right"/>
              <w:rPr>
                <w:rFonts w:ascii="Calibri" w:cs="Calibri" w:eastAsia="Calibri" w:hAnsi="Calibri"/>
                <w:b w:val="1"/>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1"/>
                <w:smallCaps w:val="0"/>
                <w:strike w:val="0"/>
                <w:color w:val="000000"/>
                <w:sz w:val="18"/>
                <w:szCs w:val="18"/>
                <w:u w:val="none"/>
                <w:shd w:fill="auto" w:val="clear"/>
                <w:vertAlign w:val="baseline"/>
                <w:rtl w:val="0"/>
              </w:rPr>
              <w:t xml:space="preserve">approfondite nel progetto di ricerca)</w:t>
            </w:r>
          </w:p>
        </w:tc>
        <w:tc>
          <w:tcPr/>
          <w:p w:rsidR="00000000" w:rsidDel="00000000" w:rsidP="00000000" w:rsidRDefault="00000000" w:rsidRPr="00000000" w14:paraId="0000000F">
            <w:pPr>
              <w:tabs>
                <w:tab w:val="left" w:leader="none" w:pos="245"/>
              </w:tabs>
              <w:spacing w:before="104" w:lineRule="auto"/>
              <w:rPr/>
            </w:pPr>
            <w:r w:rsidDel="00000000" w:rsidR="00000000" w:rsidRPr="00000000">
              <w:rPr>
                <w:rtl w:val="0"/>
              </w:rPr>
              <w:t xml:space="preserve">Area#1 – Sicurezza dei dati e privacy</w:t>
            </w:r>
          </w:p>
          <w:p w:rsidR="00000000" w:rsidDel="00000000" w:rsidP="00000000" w:rsidRDefault="00000000" w:rsidRPr="00000000" w14:paraId="00000010">
            <w:pPr>
              <w:tabs>
                <w:tab w:val="left" w:leader="none" w:pos="245"/>
              </w:tabs>
              <w:spacing w:before="104" w:lineRule="auto"/>
              <w:rPr/>
            </w:pPr>
            <w:r w:rsidDel="00000000" w:rsidR="00000000" w:rsidRPr="00000000">
              <w:rPr>
                <w:rtl w:val="0"/>
              </w:rPr>
              <w:t xml:space="preserve">Area#2 – Gestione delle minacce cibernetiche</w:t>
            </w:r>
          </w:p>
          <w:p w:rsidR="00000000" w:rsidDel="00000000" w:rsidP="00000000" w:rsidRDefault="00000000" w:rsidRPr="00000000" w14:paraId="00000011">
            <w:pPr>
              <w:tabs>
                <w:tab w:val="left" w:leader="none" w:pos="245"/>
              </w:tabs>
              <w:spacing w:before="104" w:lineRule="auto"/>
              <w:rPr/>
            </w:pPr>
            <w:r w:rsidDel="00000000" w:rsidR="00000000" w:rsidRPr="00000000">
              <w:rPr>
                <w:rtl w:val="0"/>
              </w:rPr>
              <w:t xml:space="preserve">Area#6: Aspetti di Governo</w:t>
            </w:r>
          </w:p>
          <w:p w:rsidR="00000000" w:rsidDel="00000000" w:rsidP="00000000" w:rsidRDefault="00000000" w:rsidRPr="00000000" w14:paraId="00000012">
            <w:pPr>
              <w:tabs>
                <w:tab w:val="left" w:leader="none" w:pos="245"/>
              </w:tabs>
              <w:spacing w:before="104"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5"/>
              </w:tabs>
              <w:spacing w:after="0" w:before="104" w:line="240" w:lineRule="auto"/>
              <w:ind w:left="0" w:right="0" w:firstLine="0"/>
              <w:jc w:val="left"/>
              <w:rPr/>
            </w:pPr>
            <w:r w:rsidDel="00000000" w:rsidR="00000000" w:rsidRPr="00000000">
              <w:rPr>
                <w:rtl w:val="0"/>
              </w:rPr>
            </w:r>
          </w:p>
        </w:tc>
      </w:tr>
      <w:tr>
        <w:trPr>
          <w:cantSplit w:val="0"/>
          <w:trHeight w:val="2098" w:hRule="atLeast"/>
          <w:tblHeader w:val="0"/>
        </w:trPr>
        <w:tc>
          <w:tcPr>
            <w:gridSpan w:val="2"/>
            <w:shd w:fill="deebf6"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Subaree ed Argomenti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108" w:right="106"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(specificare l’Argomento o gli Argomenti indirizzati dal progetto di ricerca che si intendono approfondire, utilizzando il formato specificato nell’Agenda di ricerca &lt;Argomento#Area.Subarea.NumArgomento&gt;, che identifica univocamente la corrispondenza tra Aree, Subaree e Argomenti. Se gli Argomenti sono più di uno, separarli tramite virgola)</w:t>
            </w:r>
          </w:p>
        </w:tc>
      </w:tr>
      <w:tr>
        <w:trPr>
          <w:cantSplit w:val="0"/>
          <w:trHeight w:val="1357" w:hRule="atLeast"/>
          <w:tblHeader w:val="0"/>
        </w:trPr>
        <w:tc>
          <w:tcPr>
            <w:gridSpan w:val="2"/>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Argomento#2.1.1,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Argomento#2.2.1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Argomento#6.</w:t>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r>
        <w:trPr>
          <w:cantSplit w:val="0"/>
          <w:trHeight w:val="1418" w:hRule="atLeast"/>
          <w:tblHeader w:val="0"/>
        </w:trPr>
        <w:tc>
          <w:tcPr>
            <w:gridSpan w:val="2"/>
            <w:shd w:fill="deeaf6"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Emerging &amp; Disruptive Technologies (EDT)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108" w:right="105"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(specificare l’eventuale EDT o gli eventuali EDT Argomento che si intendono approfondire nel progetto di ricerca sulla base delle Emerging &amp; Disruptive Technologies (EDT) selezionate come rilevanti per la cybersicurezza dall’Agenda di Ricerca e Innovazione per la Cybersicurezza 2023 – 2026)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108" w:right="105"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108" w:right="105"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r>
        <w:trPr>
          <w:cantSplit w:val="0"/>
          <w:trHeight w:val="1340" w:hRule="atLeast"/>
          <w:tblHeader w:val="0"/>
        </w:trPr>
        <w:tc>
          <w:tcPr>
            <w:gridSpan w:val="2"/>
          </w:tcPr>
          <w:p w:rsidR="00000000" w:rsidDel="00000000" w:rsidP="00000000" w:rsidRDefault="00000000" w:rsidRPr="00000000" w14:paraId="00000022">
            <w:pPr>
              <w:rPr>
                <w:b w:val="1"/>
              </w:rPr>
            </w:pPr>
            <w:r w:rsidDel="00000000" w:rsidR="00000000" w:rsidRPr="00000000">
              <w:rPr>
                <w:b w:val="1"/>
                <w:rtl w:val="0"/>
              </w:rPr>
              <w:t xml:space="preserve">Data science</w:t>
            </w:r>
          </w:p>
          <w:p w:rsidR="00000000" w:rsidDel="00000000" w:rsidP="00000000" w:rsidRDefault="00000000" w:rsidRPr="00000000" w14:paraId="00000023">
            <w:pPr>
              <w:rPr/>
            </w:pPr>
            <w:r w:rsidDel="00000000" w:rsidR="00000000" w:rsidRPr="00000000">
              <w:rPr>
                <w:rtl w:val="0"/>
              </w:rPr>
              <w:t xml:space="preserve">Saranno approfonditi i metodi di preparazione dei dati per un’efficace e robusto processo di anonimizzazione, preservando la qualità del dato per i task (downstream task) che utilizzano i dati.</w:t>
            </w: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Machine learning and deep learning</w:t>
            </w:r>
          </w:p>
          <w:p w:rsidR="00000000" w:rsidDel="00000000" w:rsidP="00000000" w:rsidRDefault="00000000" w:rsidRPr="00000000" w14:paraId="00000025">
            <w:pPr>
              <w:rPr/>
            </w:pPr>
            <w:r w:rsidDel="00000000" w:rsidR="00000000" w:rsidRPr="00000000">
              <w:rPr>
                <w:rtl w:val="0"/>
              </w:rPr>
              <w:t xml:space="preserve">Saranno sviluppate metodologie di anonimizzazione dei dati basate su reti neurali generative che siano robuste ad attacchi avversari, in differenti domini medicali che saranno considerati come casi di studio. </w:t>
            </w:r>
          </w:p>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8">
      <w:pPr>
        <w:spacing w:line="276" w:lineRule="auto"/>
        <w:jc w:val="both"/>
        <w:rPr/>
        <w:sectPr>
          <w:pgSz w:h="16860" w:w="11930" w:orient="portrait"/>
          <w:pgMar w:bottom="280" w:top="1600" w:left="920" w:right="720" w:header="720" w:footer="720"/>
          <w:pgNumType w:start="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063.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3"/>
        <w:tblGridChange w:id="0">
          <w:tblGrid>
            <w:gridCol w:w="10063"/>
          </w:tblGrid>
        </w:tblGridChange>
      </w:tblGrid>
      <w:tr>
        <w:trPr>
          <w:cantSplit w:val="0"/>
          <w:trHeight w:val="1412" w:hRule="atLeast"/>
          <w:tblHeader w:val="0"/>
        </w:trPr>
        <w:tc>
          <w:tcPr>
            <w:shd w:fill="deeaf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Capacità del progetto di rafforzare la ricerca e l’autonomia tecnologica e strategica nazionale ed europea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108" w:right="103"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(indicare: a) le imprese, gli enti e laboratori di ricerca pubblici o privati riconducibili a realtà italiane e/o europee con cui si intende collaborare; b) la previsione di un periodo di studio all’estero, di almeno sei mesi, nei Paesi dell’Unione Europea)</w:t>
            </w:r>
          </w:p>
        </w:tc>
      </w:tr>
      <w:tr>
        <w:trPr>
          <w:cantSplit w:val="0"/>
          <w:trHeight w:val="4444" w:hRule="atLeast"/>
          <w:tblHeader w:val="0"/>
        </w:trPr>
        <w:tc>
          <w:tcPr/>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 imprese, gli enti e laboratori di ricerca pubblici o privati riconducibili a realtà italiane e/o europee con cui si intende collaborare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Si intende collaborare con aziende del settore biomedicale, ICT e con primarie realtà sanitarie dove testare in scenari reali le soluzioni che saranno sviluppate:</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Bracco Imaging, </w:t>
            </w:r>
            <w:hyperlink r:id="rId7">
              <w:r w:rsidDel="00000000" w:rsidR="00000000" w:rsidRPr="00000000">
                <w:rPr>
                  <w:color w:val="1155cc"/>
                  <w:u w:val="single"/>
                  <w:rtl w:val="0"/>
                </w:rPr>
                <w:t xml:space="preserve">https://www.bracco.com/it-it</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Eustema SpA, </w:t>
            </w:r>
            <w:hyperlink r:id="rId8">
              <w:r w:rsidDel="00000000" w:rsidR="00000000" w:rsidRPr="00000000">
                <w:rPr>
                  <w:color w:val="1155cc"/>
                  <w:u w:val="single"/>
                  <w:rtl w:val="0"/>
                </w:rPr>
                <w:t xml:space="preserve">www.eustema.it</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Centro Diagnostico Italiano, </w:t>
            </w:r>
            <w:hyperlink r:id="rId9">
              <w:r w:rsidDel="00000000" w:rsidR="00000000" w:rsidRPr="00000000">
                <w:rPr>
                  <w:color w:val="1155cc"/>
                  <w:u w:val="single"/>
                  <w:rtl w:val="0"/>
                </w:rPr>
                <w:t xml:space="preserve">www.cdi.it</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Fondazione Policlinico Campus Bio-Medico di Roma, </w:t>
            </w:r>
            <w:hyperlink r:id="rId10">
              <w:r w:rsidDel="00000000" w:rsidR="00000000" w:rsidRPr="00000000">
                <w:rPr>
                  <w:color w:val="1155cc"/>
                  <w:u w:val="single"/>
                  <w:rtl w:val="0"/>
                </w:rPr>
                <w:t xml:space="preserve">https://www.policlinicocampusbiomedico.it/</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Inoltre il progetto si avvarrà della collaborazione del Swedish National Infrastructure for Computing (SNIC), un consorzio svedese che rende disponibili strumenti in cloud per attività di ricerca nel campo della IA, sotto forma di grant annuali rinnovabili. Il proponente già dispone dal 2022 di un grant per 30000 ore/mese per lo sviluppo di modelli di AI nel settore medicale.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la previsione di un periodo di studio all’estero, di almeno sei mesi, nei Paesi dell’Unione Europea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previsto lo svolgimento di un periodo di 6 mesi all’estero presso la </w:t>
            </w:r>
            <w:r w:rsidDel="00000000" w:rsidR="00000000" w:rsidRPr="00000000">
              <w:rPr>
                <w:rtl w:val="0"/>
              </w:rPr>
              <w:t xml:space="preserve">Umeå University (Sweden), oppure presso Eindhoven University of Technology (The Netherlands).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r>
      <w:tr>
        <w:trPr>
          <w:cantSplit w:val="0"/>
          <w:trHeight w:val="1236" w:hRule="atLeast"/>
          <w:tblHeader w:val="0"/>
        </w:trPr>
        <w:tc>
          <w:tcPr>
            <w:shd w:fill="deebf6"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Abstract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del progetto di ricerca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8"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(indicare  come  il  progetto  indirizza  gli  argomenti  di  ricerca  indicati  nel  campo  “Subaree  ed  Argomenti”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0" w:firstLine="0"/>
              <w:jc w:val="left"/>
              <w:rPr>
                <w:i w:val="1"/>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precedente ai fini della valutazione della pertinenza)</w:t>
            </w:r>
            <w:r w:rsidDel="00000000" w:rsidR="00000000" w:rsidRPr="00000000">
              <w:rPr>
                <w:rtl w:val="0"/>
              </w:rPr>
            </w:r>
          </w:p>
        </w:tc>
      </w:tr>
      <w:tr>
        <w:trPr>
          <w:cantSplit w:val="0"/>
          <w:trHeight w:val="12910" w:hRule="atLeast"/>
          <w:tblHeader w:val="0"/>
        </w:trPr>
        <w:tc>
          <w:tcPr/>
          <w:p w:rsidR="00000000" w:rsidDel="00000000" w:rsidP="00000000" w:rsidRDefault="00000000" w:rsidRPr="00000000" w14:paraId="0000003B">
            <w:pPr>
              <w:widowControl w:val="1"/>
              <w:rPr>
                <w:sz w:val="24"/>
                <w:szCs w:val="24"/>
              </w:rPr>
            </w:pPr>
            <w:r w:rsidDel="00000000" w:rsidR="00000000" w:rsidRPr="00000000">
              <w:rPr>
                <w:b w:val="1"/>
                <w:sz w:val="24"/>
                <w:szCs w:val="24"/>
                <w:rtl w:val="0"/>
              </w:rPr>
              <w:t xml:space="preserve">Contesto di riferimento e obiettivi</w:t>
            </w:r>
            <w:r w:rsidDel="00000000" w:rsidR="00000000" w:rsidRPr="00000000">
              <w:rPr>
                <w:sz w:val="24"/>
                <w:szCs w:val="24"/>
                <w:rtl w:val="0"/>
              </w:rPr>
              <w:t xml:space="preserve">:</w:t>
            </w:r>
          </w:p>
          <w:p w:rsidR="00000000" w:rsidDel="00000000" w:rsidP="00000000" w:rsidRDefault="00000000" w:rsidRPr="00000000" w14:paraId="0000003C">
            <w:pPr>
              <w:widowControl w:val="1"/>
              <w:jc w:val="both"/>
              <w:rPr>
                <w:sz w:val="24"/>
                <w:szCs w:val="24"/>
              </w:rPr>
            </w:pPr>
            <w:r w:rsidDel="00000000" w:rsidR="00000000" w:rsidRPr="00000000">
              <w:rPr>
                <w:sz w:val="24"/>
                <w:szCs w:val="24"/>
                <w:rtl w:val="0"/>
              </w:rPr>
              <w:t xml:space="preserve">Nel nostro paese i dati sanitari rivestono da sempre un ruolo fondamentale: con l'avanzare della digitalizzazione nel settore sanitario, si rende imperativa l'adozione di meccanismi di cybersecurity avanzati. Ciò assume ancor più rilevanza in riferimento al GDPR e all’importanza di tutelare i dati dei pazienti, garantirne la protezione e la sicurezza da eventuali accessi indebiti, anche in considerazione del crescente impiego di strumenti di intelligenza artificiale per l’elaborazione dei dati e per il supporto alle decisioni, anche per il raggiungimento di risultati utili all’intera collettività (per esempio, nell’ambito della ricerca scientifica). La sanità digitale deve, quindi, porsi come primo obiettivo quello di minimizzare tali rischi, utilizzando efficaci tecniche di anonimizzazione dei dati.</w:t>
            </w:r>
          </w:p>
          <w:p w:rsidR="00000000" w:rsidDel="00000000" w:rsidP="00000000" w:rsidRDefault="00000000" w:rsidRPr="00000000" w14:paraId="0000003D">
            <w:pPr>
              <w:widowControl w:val="1"/>
              <w:jc w:val="both"/>
              <w:rPr>
                <w:sz w:val="24"/>
                <w:szCs w:val="24"/>
              </w:rPr>
            </w:pPr>
            <w:r w:rsidDel="00000000" w:rsidR="00000000" w:rsidRPr="00000000">
              <w:rPr>
                <w:sz w:val="24"/>
                <w:szCs w:val="24"/>
                <w:rtl w:val="0"/>
              </w:rPr>
              <w:t xml:space="preserve">Secondo il Garante della Privacy è un processo mediante il quale i dati personali vengono modificati in modo irreversibile così che il titolare del trattamento, da solo o in collaborazione con altre parti, non possa più identificare direttamente o indirettamente l'interessato. I tradizionali metodi di anonimizzazione risultano insufficienti di fronte agli attacchi cibernetici sempre più elaborati. In risposta, questo progetto di ricerca suggerisce l'impiego delle Reti Generative Avversarie (GANs) per garantire una condivisione dei dati medici sicura e privata, attraverso la creazione di dataset sintetici utilizzando reti neurali che preservino l'utilità del dato senza compromettere l'anonimato dei pazienti, e che siano resistenti ad attacchi avversari.</w:t>
            </w:r>
          </w:p>
          <w:p w:rsidR="00000000" w:rsidDel="00000000" w:rsidP="00000000" w:rsidRDefault="00000000" w:rsidRPr="00000000" w14:paraId="0000003E">
            <w:pPr>
              <w:widowControl w:val="1"/>
              <w:rPr>
                <w:sz w:val="24"/>
                <w:szCs w:val="24"/>
              </w:rPr>
            </w:pPr>
            <w:r w:rsidDel="00000000" w:rsidR="00000000" w:rsidRPr="00000000">
              <w:rPr>
                <w:rtl w:val="0"/>
              </w:rPr>
            </w:r>
          </w:p>
          <w:p w:rsidR="00000000" w:rsidDel="00000000" w:rsidP="00000000" w:rsidRDefault="00000000" w:rsidRPr="00000000" w14:paraId="0000003F">
            <w:pPr>
              <w:widowControl w:val="1"/>
              <w:rPr>
                <w:sz w:val="24"/>
                <w:szCs w:val="24"/>
              </w:rPr>
            </w:pPr>
            <w:r w:rsidDel="00000000" w:rsidR="00000000" w:rsidRPr="00000000">
              <w:rPr>
                <w:b w:val="1"/>
                <w:sz w:val="24"/>
                <w:szCs w:val="24"/>
                <w:rtl w:val="0"/>
              </w:rPr>
              <w:t xml:space="preserve">Metodologie</w:t>
            </w:r>
            <w:r w:rsidDel="00000000" w:rsidR="00000000" w:rsidRPr="00000000">
              <w:rPr>
                <w:sz w:val="24"/>
                <w:szCs w:val="24"/>
                <w:rtl w:val="0"/>
              </w:rPr>
              <w:t xml:space="preserve">:</w:t>
            </w:r>
          </w:p>
          <w:p w:rsidR="00000000" w:rsidDel="00000000" w:rsidP="00000000" w:rsidRDefault="00000000" w:rsidRPr="00000000" w14:paraId="00000040">
            <w:pPr>
              <w:widowControl w:val="1"/>
              <w:numPr>
                <w:ilvl w:val="0"/>
                <w:numId w:val="2"/>
              </w:numPr>
              <w:ind w:left="720" w:hanging="360"/>
              <w:rPr>
                <w:sz w:val="24"/>
                <w:szCs w:val="24"/>
              </w:rPr>
            </w:pPr>
            <w:r w:rsidDel="00000000" w:rsidR="00000000" w:rsidRPr="00000000">
              <w:rPr>
                <w:i w:val="1"/>
                <w:sz w:val="24"/>
                <w:szCs w:val="24"/>
                <w:rtl w:val="0"/>
              </w:rPr>
              <w:t xml:space="preserve">Sicurezza dei Modelli di Apprendimento Automatico</w:t>
            </w:r>
            <w:r w:rsidDel="00000000" w:rsidR="00000000" w:rsidRPr="00000000">
              <w:rPr>
                <w:sz w:val="24"/>
                <w:szCs w:val="24"/>
                <w:rtl w:val="0"/>
              </w:rPr>
              <w:t xml:space="preserve">:</w:t>
            </w:r>
          </w:p>
          <w:p w:rsidR="00000000" w:rsidDel="00000000" w:rsidP="00000000" w:rsidRDefault="00000000" w:rsidRPr="00000000" w14:paraId="00000041">
            <w:pPr>
              <w:widowControl w:val="1"/>
              <w:numPr>
                <w:ilvl w:val="1"/>
                <w:numId w:val="2"/>
              </w:numPr>
              <w:ind w:left="1440" w:hanging="360"/>
              <w:rPr>
                <w:sz w:val="24"/>
                <w:szCs w:val="24"/>
              </w:rPr>
            </w:pPr>
            <w:r w:rsidDel="00000000" w:rsidR="00000000" w:rsidRPr="00000000">
              <w:rPr>
                <w:sz w:val="24"/>
                <w:szCs w:val="24"/>
                <w:rtl w:val="0"/>
              </w:rPr>
              <w:t xml:space="preserve">Definizione dei modelli GAN: nel corso del progetto si utilizzeranno i modelli di reti GAN considerate oggi allo stato dell’arte, e di maggior interesse nel settore medicale per trattare l’etorogeneità dei dati sanitari (immagini, dati tabulari, serie temporali). Esempi di modelli sono le Conditional GAN e le Cycle-Consistent Adversarial Networks.</w:t>
            </w:r>
          </w:p>
          <w:p w:rsidR="00000000" w:rsidDel="00000000" w:rsidP="00000000" w:rsidRDefault="00000000" w:rsidRPr="00000000" w14:paraId="00000042">
            <w:pPr>
              <w:widowControl w:val="1"/>
              <w:numPr>
                <w:ilvl w:val="1"/>
                <w:numId w:val="2"/>
              </w:numPr>
              <w:ind w:left="1440" w:hanging="360"/>
              <w:rPr>
                <w:sz w:val="24"/>
                <w:szCs w:val="24"/>
              </w:rPr>
            </w:pPr>
            <w:r w:rsidDel="00000000" w:rsidR="00000000" w:rsidRPr="00000000">
              <w:rPr>
                <w:sz w:val="24"/>
                <w:szCs w:val="24"/>
                <w:rtl w:val="0"/>
              </w:rPr>
              <w:t xml:space="preserve">Adversarial Training: Implementeremo tecniche di adversarial training utilizzando specifiche reti GAN descritte al punto precedente, per esporre i modelli generativi a esempi avversari durante la fase di training. Questo rafforza la capacità dei modelli di generalizzare dai dati di apprendimento e ne accresce la resilienza agli attacchi adversarial, rendendoli più robusti contro tentativi di manipolazione o inferenza malevola.</w:t>
            </w:r>
          </w:p>
          <w:p w:rsidR="00000000" w:rsidDel="00000000" w:rsidP="00000000" w:rsidRDefault="00000000" w:rsidRPr="00000000" w14:paraId="00000043">
            <w:pPr>
              <w:widowControl w:val="1"/>
              <w:numPr>
                <w:ilvl w:val="0"/>
                <w:numId w:val="2"/>
              </w:numPr>
              <w:ind w:left="720" w:hanging="360"/>
              <w:rPr>
                <w:i w:val="1"/>
                <w:sz w:val="24"/>
                <w:szCs w:val="24"/>
              </w:rPr>
            </w:pPr>
            <w:r w:rsidDel="00000000" w:rsidR="00000000" w:rsidRPr="00000000">
              <w:rPr>
                <w:i w:val="1"/>
                <w:sz w:val="24"/>
                <w:szCs w:val="24"/>
                <w:rtl w:val="0"/>
              </w:rPr>
              <w:t xml:space="preserve">Analisi delle Vulnerabilità:</w:t>
            </w:r>
          </w:p>
          <w:p w:rsidR="00000000" w:rsidDel="00000000" w:rsidP="00000000" w:rsidRDefault="00000000" w:rsidRPr="00000000" w14:paraId="00000044">
            <w:pPr>
              <w:widowControl w:val="1"/>
              <w:numPr>
                <w:ilvl w:val="1"/>
                <w:numId w:val="2"/>
              </w:numPr>
              <w:ind w:left="1440" w:hanging="360"/>
              <w:rPr>
                <w:sz w:val="24"/>
                <w:szCs w:val="24"/>
              </w:rPr>
            </w:pPr>
            <w:r w:rsidDel="00000000" w:rsidR="00000000" w:rsidRPr="00000000">
              <w:rPr>
                <w:sz w:val="24"/>
                <w:szCs w:val="24"/>
                <w:rtl w:val="0"/>
              </w:rPr>
              <w:t xml:space="preserve">Automated Penetration Testing: Utilizzo di strumenti di automated penetration testing per simulare attacchi informatici alle GAN, identificando potenziali vulnerabilità nell'architettura del modello e nei processi di elaborazione dei dati. In questa fase si attuerranno attacchi sistematici al modello con una gamma di vulnerabilità note per valutare le sue difese.</w:t>
            </w:r>
          </w:p>
          <w:p w:rsidR="00000000" w:rsidDel="00000000" w:rsidP="00000000" w:rsidRDefault="00000000" w:rsidRPr="00000000" w14:paraId="00000045">
            <w:pPr>
              <w:widowControl w:val="1"/>
              <w:numPr>
                <w:ilvl w:val="0"/>
                <w:numId w:val="2"/>
              </w:numPr>
              <w:ind w:left="720" w:hanging="360"/>
              <w:rPr>
                <w:sz w:val="24"/>
                <w:szCs w:val="24"/>
              </w:rPr>
            </w:pPr>
            <w:r w:rsidDel="00000000" w:rsidR="00000000" w:rsidRPr="00000000">
              <w:rPr>
                <w:i w:val="1"/>
                <w:sz w:val="24"/>
                <w:szCs w:val="24"/>
                <w:rtl w:val="0"/>
              </w:rPr>
              <w:t xml:space="preserve">Implementazione dei Meccanismi di Difesa</w:t>
            </w:r>
            <w:r w:rsidDel="00000000" w:rsidR="00000000" w:rsidRPr="00000000">
              <w:rPr>
                <w:sz w:val="24"/>
                <w:szCs w:val="24"/>
                <w:rtl w:val="0"/>
              </w:rPr>
              <w:t xml:space="preserve">:</w:t>
            </w:r>
          </w:p>
          <w:p w:rsidR="00000000" w:rsidDel="00000000" w:rsidP="00000000" w:rsidRDefault="00000000" w:rsidRPr="00000000" w14:paraId="00000046">
            <w:pPr>
              <w:widowControl w:val="1"/>
              <w:numPr>
                <w:ilvl w:val="1"/>
                <w:numId w:val="2"/>
              </w:numPr>
              <w:ind w:left="1440" w:hanging="360"/>
              <w:rPr>
                <w:sz w:val="24"/>
                <w:szCs w:val="24"/>
              </w:rPr>
            </w:pPr>
            <w:r w:rsidDel="00000000" w:rsidR="00000000" w:rsidRPr="00000000">
              <w:rPr>
                <w:sz w:val="24"/>
                <w:szCs w:val="24"/>
                <w:rtl w:val="0"/>
              </w:rPr>
              <w:t xml:space="preserve">Model Hardening: Sulla base delle vulnerabilità identificate, il progetto vuole rendere più robusti i modelli GAN implementando contromisure specifiche come la validazione dell'input, la sanificazione dell'output e pratiche di codifica sicura. Questo renderà i modelli più resistenti a manipolazioni e accessi non autorizzati.</w:t>
            </w:r>
          </w:p>
          <w:p w:rsidR="00000000" w:rsidDel="00000000" w:rsidP="00000000" w:rsidRDefault="00000000" w:rsidRPr="00000000" w14:paraId="00000047">
            <w:pPr>
              <w:widowControl w:val="1"/>
              <w:numPr>
                <w:ilvl w:val="1"/>
                <w:numId w:val="2"/>
              </w:numPr>
              <w:ind w:left="1440" w:hanging="360"/>
              <w:rPr>
                <w:sz w:val="24"/>
                <w:szCs w:val="24"/>
              </w:rPr>
            </w:pPr>
            <w:r w:rsidDel="00000000" w:rsidR="00000000" w:rsidRPr="00000000">
              <w:rPr>
                <w:sz w:val="24"/>
                <w:szCs w:val="24"/>
                <w:rtl w:val="0"/>
              </w:rPr>
              <w:t xml:space="preserve">Differential Privacy: Incorporazione di tecniche di privacy differenziale direttamente nel processo di addestramento dei modelli generativi. Aggiungendo rumore calibrato con cura ai dati di addestramento o ai parametri del modello, il progetto vuole prevenire che gli avversari inferiscano informazioni sensibili sul dataset, mitigando efficacemente i rischi di data poisoning e data exfiltration.</w:t>
            </w:r>
          </w:p>
          <w:p w:rsidR="00000000" w:rsidDel="00000000" w:rsidP="00000000" w:rsidRDefault="00000000" w:rsidRPr="00000000" w14:paraId="00000048">
            <w:pPr>
              <w:widowControl w:val="1"/>
              <w:numPr>
                <w:ilvl w:val="0"/>
                <w:numId w:val="2"/>
              </w:numPr>
              <w:ind w:left="720" w:hanging="360"/>
              <w:rPr>
                <w:sz w:val="24"/>
                <w:szCs w:val="24"/>
              </w:rPr>
            </w:pPr>
            <w:r w:rsidDel="00000000" w:rsidR="00000000" w:rsidRPr="00000000">
              <w:rPr>
                <w:i w:val="1"/>
                <w:sz w:val="24"/>
                <w:szCs w:val="24"/>
                <w:rtl w:val="0"/>
              </w:rPr>
              <w:t xml:space="preserve">Procedura sperimentale</w:t>
            </w:r>
            <w:r w:rsidDel="00000000" w:rsidR="00000000" w:rsidRPr="00000000">
              <w:rPr>
                <w:sz w:val="24"/>
                <w:szCs w:val="24"/>
                <w:rtl w:val="0"/>
              </w:rPr>
              <w:t xml:space="preserve">:</w:t>
            </w:r>
          </w:p>
          <w:p w:rsidR="00000000" w:rsidDel="00000000" w:rsidP="00000000" w:rsidRDefault="00000000" w:rsidRPr="00000000" w14:paraId="00000049">
            <w:pPr>
              <w:widowControl w:val="1"/>
              <w:numPr>
                <w:ilvl w:val="1"/>
                <w:numId w:val="2"/>
              </w:numPr>
              <w:ind w:left="1440" w:hanging="360"/>
              <w:rPr>
                <w:sz w:val="24"/>
                <w:szCs w:val="24"/>
              </w:rPr>
            </w:pPr>
            <w:r w:rsidDel="00000000" w:rsidR="00000000" w:rsidRPr="00000000">
              <w:rPr>
                <w:sz w:val="24"/>
                <w:szCs w:val="24"/>
                <w:rtl w:val="0"/>
              </w:rPr>
              <w:t xml:space="preserve">Identificazione e preparazione dei dataset: per rappresentare la varibialilità dei dati presenti in letteratura faremo riferimento a dataset pubblici ben consolidati nel panorama scientifico. In particolare, faremo riferimento a dati tabulari (datasets AIfocCOVID, MIMIC-III, etc.), immagini radiologiche (FDG-PET-CT-Lesions, Mayo Clinic LDCT-and-Projection Data, etc.) e serie temporali (PTB-XL, eSports Sensors, etc).</w:t>
            </w:r>
          </w:p>
          <w:p w:rsidR="00000000" w:rsidDel="00000000" w:rsidP="00000000" w:rsidRDefault="00000000" w:rsidRPr="00000000" w14:paraId="0000004A">
            <w:pPr>
              <w:widowControl w:val="1"/>
              <w:numPr>
                <w:ilvl w:val="1"/>
                <w:numId w:val="2"/>
              </w:numPr>
              <w:ind w:left="1440" w:hanging="360"/>
              <w:rPr>
                <w:sz w:val="24"/>
                <w:szCs w:val="24"/>
              </w:rPr>
            </w:pPr>
            <w:r w:rsidDel="00000000" w:rsidR="00000000" w:rsidRPr="00000000">
              <w:rPr>
                <w:sz w:val="24"/>
                <w:szCs w:val="24"/>
                <w:rtl w:val="0"/>
              </w:rPr>
              <w:t xml:space="preserve">Valutazione delle Prestazioni: La valutazione delle performance dei modelli GAN sui dataset sintetici generati sarà basata su metriche concrete quali la Similarity Index, misurando il grado di somiglianza tra i dati sintetici e quelli reali, la Privacy Risk Score per valutare il rischio di re-identificazione dei dati anonimizzati, e la Fidelity and Diversity Score per quantificare quanto accuratamente i dataset sintetici rappresentino la varietà e la complessità dei dati reali. Queste metriche ci permetteranno di assessare l'efficacia delle GAN nell'equilibrare la necessità di anonimizzazione dei dati con la preservazione della loro utilità per applicazioni diagnostiche e di ricerca nel campo della radiomica.</w:t>
            </w:r>
            <w:r w:rsidDel="00000000" w:rsidR="00000000" w:rsidRPr="00000000">
              <w:rPr>
                <w:rtl w:val="0"/>
              </w:rPr>
            </w:r>
          </w:p>
          <w:p w:rsidR="00000000" w:rsidDel="00000000" w:rsidP="00000000" w:rsidRDefault="00000000" w:rsidRPr="00000000" w14:paraId="0000004B">
            <w:pPr>
              <w:widowControl w:val="1"/>
              <w:numPr>
                <w:ilvl w:val="1"/>
                <w:numId w:val="2"/>
              </w:numPr>
              <w:ind w:left="1440" w:hanging="360"/>
              <w:rPr>
                <w:sz w:val="24"/>
                <w:szCs w:val="24"/>
              </w:rPr>
            </w:pPr>
            <w:r w:rsidDel="00000000" w:rsidR="00000000" w:rsidRPr="00000000">
              <w:rPr>
                <w:sz w:val="24"/>
                <w:szCs w:val="24"/>
                <w:rtl w:val="0"/>
              </w:rPr>
              <w:t xml:space="preserve">Simulazione di Scenari di Attacco: progettazione e simulazione di un insieme completo di scenari di attacco, includendo sia cyber-threats comuni che sofisticate. Ciò comporta la creazione di scenari per data tampering, model inversion attacks e altro, per testare la resilienza delle GAN sotto diverse condizioni.</w:t>
            </w:r>
          </w:p>
          <w:p w:rsidR="00000000" w:rsidDel="00000000" w:rsidP="00000000" w:rsidRDefault="00000000" w:rsidRPr="00000000" w14:paraId="0000004C">
            <w:pPr>
              <w:widowControl w:val="1"/>
              <w:numPr>
                <w:ilvl w:val="1"/>
                <w:numId w:val="2"/>
              </w:numPr>
              <w:ind w:left="1440" w:hanging="360"/>
              <w:rPr>
                <w:sz w:val="24"/>
                <w:szCs w:val="24"/>
              </w:rPr>
            </w:pPr>
            <w:r w:rsidDel="00000000" w:rsidR="00000000" w:rsidRPr="00000000">
              <w:rPr>
                <w:sz w:val="24"/>
                <w:szCs w:val="24"/>
                <w:rtl w:val="0"/>
              </w:rPr>
              <w:t xml:space="preserve">Stress Testing in Condizioni Realistiche: il progetto definerà stress tests dei modelli GAN per valutare le loro performance e robustezza in contesti realistici. Questo aiuterà a identificare eventuali vulnerabilità o debolezze impreviste nei meccanismi di difesa.</w:t>
            </w:r>
          </w:p>
          <w:p w:rsidR="00000000" w:rsidDel="00000000" w:rsidP="00000000" w:rsidRDefault="00000000" w:rsidRPr="00000000" w14:paraId="0000004D">
            <w:pPr>
              <w:widowControl w:val="1"/>
              <w:numPr>
                <w:ilvl w:val="1"/>
                <w:numId w:val="2"/>
              </w:numPr>
              <w:ind w:left="1440" w:hanging="360"/>
              <w:rPr>
                <w:sz w:val="24"/>
                <w:szCs w:val="24"/>
              </w:rPr>
            </w:pPr>
            <w:r w:rsidDel="00000000" w:rsidR="00000000" w:rsidRPr="00000000">
              <w:rPr>
                <w:sz w:val="24"/>
                <w:szCs w:val="24"/>
                <w:rtl w:val="0"/>
              </w:rPr>
              <w:t xml:space="preserve">Benchmarking: Il progetto confronta la metodologia basata su GAN con metodi di anonimizzazione tradizionali (e.g., k-anonymity, differential privacy) su varie dimensioni tra cui utilità dei dati, livello di privacy ed efficienza computazionale.</w:t>
            </w:r>
          </w:p>
          <w:p w:rsidR="00000000" w:rsidDel="00000000" w:rsidP="00000000" w:rsidRDefault="00000000" w:rsidRPr="00000000" w14:paraId="0000004E">
            <w:pPr>
              <w:widowControl w:val="1"/>
              <w:rPr>
                <w:sz w:val="24"/>
                <w:szCs w:val="24"/>
              </w:rPr>
            </w:pPr>
            <w:r w:rsidDel="00000000" w:rsidR="00000000" w:rsidRPr="00000000">
              <w:rPr>
                <w:rtl w:val="0"/>
              </w:rPr>
            </w:r>
          </w:p>
          <w:p w:rsidR="00000000" w:rsidDel="00000000" w:rsidP="00000000" w:rsidRDefault="00000000" w:rsidRPr="00000000" w14:paraId="0000004F">
            <w:pPr>
              <w:widowControl w:val="1"/>
              <w:rPr>
                <w:sz w:val="24"/>
                <w:szCs w:val="24"/>
              </w:rPr>
            </w:pPr>
            <w:r w:rsidDel="00000000" w:rsidR="00000000" w:rsidRPr="00000000">
              <w:rPr>
                <w:rtl w:val="0"/>
              </w:rPr>
            </w:r>
          </w:p>
          <w:p w:rsidR="00000000" w:rsidDel="00000000" w:rsidP="00000000" w:rsidRDefault="00000000" w:rsidRPr="00000000" w14:paraId="00000050">
            <w:pPr>
              <w:widowControl w:val="1"/>
              <w:rPr>
                <w:sz w:val="24"/>
                <w:szCs w:val="24"/>
              </w:rPr>
            </w:pPr>
            <w:r w:rsidDel="00000000" w:rsidR="00000000" w:rsidRPr="00000000">
              <w:rPr>
                <w:b w:val="1"/>
                <w:sz w:val="24"/>
                <w:szCs w:val="24"/>
                <w:rtl w:val="0"/>
              </w:rPr>
              <w:t xml:space="preserve">Risultati Previsti</w:t>
            </w:r>
            <w:r w:rsidDel="00000000" w:rsidR="00000000" w:rsidRPr="00000000">
              <w:rPr>
                <w:sz w:val="24"/>
                <w:szCs w:val="24"/>
                <w:rtl w:val="0"/>
              </w:rPr>
              <w:t xml:space="preserve">:</w:t>
            </w:r>
          </w:p>
          <w:p w:rsidR="00000000" w:rsidDel="00000000" w:rsidP="00000000" w:rsidRDefault="00000000" w:rsidRPr="00000000" w14:paraId="00000051">
            <w:pPr>
              <w:widowControl w:val="1"/>
              <w:jc w:val="both"/>
              <w:rPr>
                <w:rFonts w:ascii="Times New Roman" w:cs="Times New Roman" w:eastAsia="Times New Roman" w:hAnsi="Times New Roman"/>
              </w:rPr>
            </w:pPr>
            <w:r w:rsidDel="00000000" w:rsidR="00000000" w:rsidRPr="00000000">
              <w:rPr>
                <w:sz w:val="24"/>
                <w:szCs w:val="24"/>
                <w:rtl w:val="0"/>
              </w:rPr>
              <w:t xml:space="preserve">Si prevede che la ricerca porti alla definizione di un framework basato su GAN per la condivisione e anonimizzazione dei dati medici altamente sicuro, che migliora significativamente la privacy dei dati senza compromettere la loro utilità. Affrontando le vulnerabilità specifiche dei modelli generativi e implementando meccanismi di difesa robusti, il progetto mira a stabilire un nuovo standard nel dominio della cybersecurity per i dati sanitari. L'implementazione di successo di questo framework non solo proteggerà dalle minacce cyber attuali ma si adatterà anche alle vulnerabilità future, segnando un importante progresso nelle pratiche di condivisione sicura dei dati all'interno della comunità medica.</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sectPr>
      <w:type w:val="nextPage"/>
      <w:pgSz w:h="16860" w:w="11930" w:orient="portrait"/>
      <w:pgMar w:bottom="280" w:top="1600" w:left="9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Pr>
      <w:rFonts w:ascii="Calibri" w:cs="Calibri" w:eastAsia="Calibri" w:hAnsi="Calibri"/>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Corpotesto">
    <w:name w:val="Body Text"/>
    <w:basedOn w:val="Normale"/>
    <w:uiPriority w:val="1"/>
    <w:qFormat w:val="1"/>
    <w:rPr>
      <w:i w:val="1"/>
      <w:sz w:val="24"/>
      <w:szCs w:val="24"/>
    </w:rPr>
  </w:style>
  <w:style w:type="paragraph" w:styleId="Paragrafoelenco">
    <w:name w:val="List Paragraph"/>
    <w:basedOn w:val="Normale"/>
    <w:uiPriority w:val="1"/>
    <w:qFormat w:val="1"/>
  </w:style>
  <w:style w:type="paragraph" w:styleId="TableParagraph" w:customStyle="1">
    <w:name w:val="Table Paragraph"/>
    <w:basedOn w:val="Normale"/>
    <w:uiPriority w:val="1"/>
    <w:qFormat w:val="1"/>
  </w:style>
  <w:style w:type="character" w:styleId="Collegamentoipertestuale">
    <w:name w:val="Hyperlink"/>
    <w:basedOn w:val="Carpredefinitoparagrafo"/>
    <w:uiPriority w:val="99"/>
    <w:unhideWhenUsed w:val="1"/>
    <w:rsid w:val="00712BA8"/>
    <w:rPr>
      <w:color w:val="0000ff" w:themeColor="hyperlink"/>
      <w:u w:val="single"/>
    </w:rPr>
  </w:style>
  <w:style w:type="character" w:styleId="Menzionenonrisolta">
    <w:name w:val="Unresolved Mention"/>
    <w:basedOn w:val="Carpredefinitoparagrafo"/>
    <w:uiPriority w:val="99"/>
    <w:semiHidden w:val="1"/>
    <w:unhideWhenUsed w:val="1"/>
    <w:rsid w:val="00712BA8"/>
    <w:rPr>
      <w:color w:val="605e5c"/>
      <w:shd w:color="auto" w:fill="e1dfdd" w:val="clear"/>
    </w:rPr>
  </w:style>
  <w:style w:type="paragraph" w:styleId="Revisione">
    <w:name w:val="Revision"/>
    <w:hidden w:val="1"/>
    <w:uiPriority w:val="99"/>
    <w:semiHidden w:val="1"/>
    <w:rsid w:val="00725A9F"/>
    <w:pPr>
      <w:widowControl w:val="1"/>
      <w:autoSpaceDE w:val="1"/>
      <w:autoSpaceDN w:val="1"/>
    </w:pPr>
    <w:rPr>
      <w:rFonts w:ascii="Calibri" w:cs="Calibri" w:eastAsia="Calibri"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policlinicocampusbiomedico.it/" TargetMode="External"/><Relationship Id="rId9" Type="http://schemas.openxmlformats.org/officeDocument/2006/relationships/hyperlink" Target="http://www.cdi.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racco.com/it-it" TargetMode="External"/><Relationship Id="rId8" Type="http://schemas.openxmlformats.org/officeDocument/2006/relationships/hyperlink" Target="http://www.eustema.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s5jB1mnGxw35dTstoQDDXLiBg==">CgMxLjA4AHIhMXBzVXo3cnRaU01ISGwxeWZfWGJRMlgxWmVwYnBZUkZ2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2024-02-27T17:31:00Z</dcterms:created>
  <dc:creator>Setola Roberto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2024-02-14T00:00:00Z</vt:filetime>
  </property>
  <property fmtid="{D5CDD505-2E9C-101B-9397-08002B2CF9AE}" pid="3" name="Creator">
    <vt:lpwstr>Microsoft® Word per Microsoft 365</vt:lpwstr>
  </property>
  <property fmtid="{D5CDD505-2E9C-101B-9397-08002B2CF9AE}" pid="4" name="LastSaved">
    <vt:filetime>2024-02-27T00:00:00Z</vt:filetime>
  </property>
</Properties>
</file>