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as-de-tests-fonctionnels-squash-tm"/>
    <w:p>
      <w:pPr>
        <w:pStyle w:val="Heading1"/>
      </w:pPr>
      <w:r>
        <w:t xml:space="preserve">Cas de tests fonctionnels – Squash TM</w:t>
      </w:r>
    </w:p>
    <w:bookmarkStart w:id="20" w:name="projet-calculatrice"/>
    <w:p>
      <w:pPr>
        <w:pStyle w:val="Heading2"/>
      </w:pPr>
      <w:r>
        <w:t xml:space="preserve">Projet : Calculatrice</w:t>
      </w:r>
    </w:p>
    <w:p>
      <w:pPr>
        <w:pStyle w:val="FirstParagraph"/>
      </w:pPr>
      <w:r>
        <w:t xml:space="preserve">Ce document présente la</w:t>
      </w:r>
      <w:r>
        <w:t xml:space="preserve"> </w:t>
      </w:r>
      <w:r>
        <w:rPr>
          <w:b/>
          <w:bCs/>
        </w:rPr>
        <w:t xml:space="preserve">transposition des cas de tests fonctionnels</w:t>
      </w:r>
      <w:r>
        <w:t xml:space="preserve"> </w:t>
      </w:r>
      <w:r>
        <w:t xml:space="preserve">du projet Calculatrice dans un format</w:t>
      </w:r>
      <w:r>
        <w:t xml:space="preserve"> </w:t>
      </w:r>
      <w:r>
        <w:rPr>
          <w:b/>
          <w:bCs/>
        </w:rPr>
        <w:t xml:space="preserve">compatible avec Squash TM</w:t>
      </w:r>
      <w:r>
        <w:t xml:space="preserve">, conforme aux pratiques de recette fonctionnelle utilisées en entreprise.</w:t>
      </w:r>
    </w:p>
    <w:p>
      <w:pPr>
        <w:pStyle w:val="BodyText"/>
      </w:pPr>
      <w:r>
        <w:t xml:space="preserve">Chaque cas de test est structuré selon les champs standards Squash :</w:t>
      </w:r>
      <w:r>
        <w:t xml:space="preserve"> </w:t>
      </w:r>
      <w:r>
        <w:t xml:space="preserve">- Identifiant</w:t>
      </w:r>
      <w:r>
        <w:t xml:space="preserve"> </w:t>
      </w:r>
      <w:r>
        <w:t xml:space="preserve">- Nom du test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Préconditions</w:t>
      </w:r>
      <w:r>
        <w:t xml:space="preserve"> </w:t>
      </w:r>
      <w:r>
        <w:t xml:space="preserve">- Étapes</w:t>
      </w:r>
      <w:r>
        <w:t xml:space="preserve"> </w:t>
      </w:r>
      <w:r>
        <w:t xml:space="preserve">- Résultat attendu</w:t>
      </w:r>
    </w:p>
    <w:p>
      <w:r>
        <w:pict>
          <v:rect style="width:0;height:1.5pt" o:hralign="center" o:hrstd="t" o:hr="t"/>
        </w:pict>
      </w:r>
    </w:p>
    <w:bookmarkEnd w:id="20"/>
    <w:bookmarkStart w:id="21" w:name="environnement-de-test"/>
    <w:p>
      <w:pPr>
        <w:pStyle w:val="Heading2"/>
      </w:pPr>
      <w:r>
        <w:t xml:space="preserve">Environnement de test</w:t>
      </w:r>
    </w:p>
    <w:p>
      <w:pPr>
        <w:pStyle w:val="Compact"/>
        <w:numPr>
          <w:ilvl w:val="0"/>
          <w:numId w:val="1001"/>
        </w:numPr>
      </w:pPr>
      <w:r>
        <w:t xml:space="preserve">Application démarrée via Docker Compose</w:t>
      </w:r>
    </w:p>
    <w:p>
      <w:pPr>
        <w:pStyle w:val="Compact"/>
        <w:numPr>
          <w:ilvl w:val="0"/>
          <w:numId w:val="1001"/>
        </w:numPr>
      </w:pPr>
      <w:r>
        <w:t xml:space="preserve">URL : http://localhost</w:t>
      </w:r>
    </w:p>
    <w:p>
      <w:pPr>
        <w:pStyle w:val="Compact"/>
        <w:numPr>
          <w:ilvl w:val="0"/>
          <w:numId w:val="1001"/>
        </w:numPr>
      </w:pPr>
      <w:r>
        <w:t xml:space="preserve">Navigateur web moderne</w:t>
      </w:r>
    </w:p>
    <w:p>
      <w:r>
        <w:pict>
          <v:rect style="width:0;height:1.5pt" o:hralign="center" o:hrstd="t" o:hr="t"/>
        </w:pict>
      </w:r>
    </w:p>
    <w:bookmarkEnd w:id="21"/>
    <w:bookmarkStart w:id="32" w:name="cas-de-tests-fonctionnels"/>
    <w:p>
      <w:pPr>
        <w:pStyle w:val="Heading2"/>
      </w:pPr>
      <w:r>
        <w:t xml:space="preserve">Cas de tests fonctionnels</w:t>
      </w:r>
    </w:p>
    <w:bookmarkStart w:id="22" w:name="ft-01-accès-à-lapplication"/>
    <w:p>
      <w:pPr>
        <w:pStyle w:val="Heading3"/>
      </w:pPr>
      <w:r>
        <w:t xml:space="preserve">FT-01 – Accès à l’application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FT-01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Accès à la page d’accueil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que l’utilisateur peut accéder à l’application via le navigateur.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L’application est démarrée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Ouvrir un navigateur</w:t>
      </w:r>
      <w:r>
        <w:t xml:space="preserve"> </w:t>
      </w:r>
      <w:r>
        <w:t xml:space="preserve">2. Saisir l’URL http://localhost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La page de la calculatrice s’affiche correctement</w:t>
      </w:r>
    </w:p>
    <w:p>
      <w:r>
        <w:pict>
          <v:rect style="width:0;height:1.5pt" o:hralign="center" o:hrstd="t" o:hr="t"/>
        </w:pict>
      </w:r>
    </w:p>
    <w:bookmarkEnd w:id="22"/>
    <w:bookmarkStart w:id="23" w:name="ft-02-saisie-valide-des-opérandes"/>
    <w:p>
      <w:pPr>
        <w:pStyle w:val="Heading3"/>
      </w:pPr>
      <w:r>
        <w:t xml:space="preserve">FT-02 – Saisie valide des opérandes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FT-02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Saisie de deux nombres valides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que l’utilisateur peut saisir deux nombres valides.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accessible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un nombre dans le champ A</w:t>
      </w:r>
      <w:r>
        <w:t xml:space="preserve"> </w:t>
      </w:r>
      <w:r>
        <w:t xml:space="preserve">2. Saisir un nombre dans le champ B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Les deux champs acceptent les valeurs saisies</w:t>
      </w:r>
    </w:p>
    <w:p>
      <w:r>
        <w:pict>
          <v:rect style="width:0;height:1.5pt" o:hralign="center" o:hrstd="t" o:hr="t"/>
        </w:pict>
      </w:r>
    </w:p>
    <w:bookmarkEnd w:id="23"/>
    <w:bookmarkStart w:id="24" w:name="ft-03-addition-de-deux-nombres"/>
    <w:p>
      <w:pPr>
        <w:pStyle w:val="Heading3"/>
      </w:pPr>
      <w:r>
        <w:t xml:space="preserve">FT-03 – Addition de deux nombres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FT-03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Calcul d’une addition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calcul d’une addition.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Champs A et B remplis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A = 10</w:t>
      </w:r>
      <w:r>
        <w:t xml:space="preserve"> </w:t>
      </w:r>
      <w:r>
        <w:t xml:space="preserve">2. Saisir B = 5</w:t>
      </w:r>
      <w:r>
        <w:t xml:space="preserve"> </w:t>
      </w:r>
      <w:r>
        <w:t xml:space="preserve">3. Cliquer sur le bouton</w:t>
      </w:r>
      <w:r>
        <w:t xml:space="preserve"> </w:t>
      </w:r>
      <w:r>
        <w:t xml:space="preserve">“+”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 résultat affiché est 15</w:t>
      </w:r>
    </w:p>
    <w:p>
      <w:r>
        <w:pict>
          <v:rect style="width:0;height:1.5pt" o:hralign="center" o:hrstd="t" o:hr="t"/>
        </w:pict>
      </w:r>
    </w:p>
    <w:bookmarkEnd w:id="24"/>
    <w:bookmarkStart w:id="25" w:name="ft-04-soustraction-de-deux-nombres"/>
    <w:p>
      <w:pPr>
        <w:pStyle w:val="Heading3"/>
      </w:pPr>
      <w:r>
        <w:t xml:space="preserve">FT-04 – Soustraction de deux nombres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FT-04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Calcul d’une soustraction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calcul d’une soustraction.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Champs A et B remplis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A = 10</w:t>
      </w:r>
      <w:r>
        <w:t xml:space="preserve"> </w:t>
      </w:r>
      <w:r>
        <w:t xml:space="preserve">2. Saisir B = 5</w:t>
      </w:r>
      <w:r>
        <w:t xml:space="preserve"> </w:t>
      </w:r>
      <w:r>
        <w:t xml:space="preserve">3. Cliquer sur le bouton</w:t>
      </w:r>
      <w:r>
        <w:t xml:space="preserve"> </w:t>
      </w:r>
      <w:r>
        <w:t xml:space="preserve">“−”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 résultat affiché est 5</w:t>
      </w:r>
    </w:p>
    <w:p>
      <w:r>
        <w:pict>
          <v:rect style="width:0;height:1.5pt" o:hralign="center" o:hrstd="t" o:hr="t"/>
        </w:pict>
      </w:r>
    </w:p>
    <w:bookmarkEnd w:id="25"/>
    <w:bookmarkStart w:id="26" w:name="ft-05-multiplication-de-deux-nombres"/>
    <w:p>
      <w:pPr>
        <w:pStyle w:val="Heading3"/>
      </w:pPr>
      <w:r>
        <w:t xml:space="preserve">FT-05 – Multiplication de deux nombres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FT-05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Calcul d’une multiplication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calcul d’une multiplication.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Champs A et B remplis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A = 4</w:t>
      </w:r>
      <w:r>
        <w:t xml:space="preserve"> </w:t>
      </w:r>
      <w:r>
        <w:t xml:space="preserve">2. Saisir B = 3</w:t>
      </w:r>
      <w:r>
        <w:t xml:space="preserve"> </w:t>
      </w:r>
      <w:r>
        <w:t xml:space="preserve">3. Cliquer sur le bouton</w:t>
      </w:r>
      <w:r>
        <w:t xml:space="preserve"> </w:t>
      </w:r>
      <w:r>
        <w:t xml:space="preserve">“×”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 résultat affiché est 12</w:t>
      </w:r>
    </w:p>
    <w:p>
      <w:r>
        <w:pict>
          <v:rect style="width:0;height:1.5pt" o:hralign="center" o:hrstd="t" o:hr="t"/>
        </w:pict>
      </w:r>
    </w:p>
    <w:bookmarkEnd w:id="26"/>
    <w:bookmarkStart w:id="27" w:name="ft-06-division-de-deux-nombres"/>
    <w:p>
      <w:pPr>
        <w:pStyle w:val="Heading3"/>
      </w:pPr>
      <w:r>
        <w:t xml:space="preserve">FT-06 – Division de deux nombres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FT-06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Calcul d’une division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calcul d’une division.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Champs A et B remplis</w:t>
      </w:r>
      <w:r>
        <w:t xml:space="preserve"> </w:t>
      </w:r>
      <w:r>
        <w:t xml:space="preserve">- B différent de 0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A = 10</w:t>
      </w:r>
      <w:r>
        <w:t xml:space="preserve"> </w:t>
      </w:r>
      <w:r>
        <w:t xml:space="preserve">2. Saisir B = 2</w:t>
      </w:r>
      <w:r>
        <w:t xml:space="preserve"> </w:t>
      </w:r>
      <w:r>
        <w:t xml:space="preserve">3. Cliquer sur le bouton</w:t>
      </w:r>
      <w:r>
        <w:t xml:space="preserve"> </w:t>
      </w:r>
      <w:r>
        <w:t xml:space="preserve">“÷”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 résultat affiché est 5</w:t>
      </w:r>
    </w:p>
    <w:p>
      <w:r>
        <w:pict>
          <v:rect style="width:0;height:1.5pt" o:hralign="center" o:hrstd="t" o:hr="t"/>
        </w:pict>
      </w:r>
    </w:p>
    <w:bookmarkEnd w:id="27"/>
    <w:bookmarkStart w:id="28" w:name="ft-07-division-par-zéro"/>
    <w:p>
      <w:pPr>
        <w:pStyle w:val="Heading3"/>
      </w:pPr>
      <w:r>
        <w:t xml:space="preserve">FT-07 – Division par zéro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FT-07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Gestion de la division par zéro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la gestion d’une division par zéro.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Champs A et B accessibles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Saisir A = 10</w:t>
      </w:r>
      <w:r>
        <w:t xml:space="preserve"> </w:t>
      </w:r>
      <w:r>
        <w:t xml:space="preserve">2. Saisir B = 0</w:t>
      </w:r>
      <w:r>
        <w:t xml:space="preserve"> </w:t>
      </w:r>
      <w:r>
        <w:t xml:space="preserve">3. Cliquer sur le bouton</w:t>
      </w:r>
      <w:r>
        <w:t xml:space="preserve"> </w:t>
      </w:r>
      <w:r>
        <w:t xml:space="preserve">“÷”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Un message d’erreur explicite est affiché</w:t>
      </w:r>
    </w:p>
    <w:p>
      <w:r>
        <w:pict>
          <v:rect style="width:0;height:1.5pt" o:hralign="center" o:hrstd="t" o:hr="t"/>
        </w:pict>
      </w:r>
    </w:p>
    <w:bookmarkEnd w:id="28"/>
    <w:bookmarkStart w:id="29" w:name="ft-08-champs-vides"/>
    <w:p>
      <w:pPr>
        <w:pStyle w:val="Heading3"/>
      </w:pPr>
      <w:r>
        <w:t xml:space="preserve">FT-08 – Champs vides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FT-08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Validation des champs obligatoires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comportement lorsque les champs sont vides.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accessible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Laisser les champs A et B vides</w:t>
      </w:r>
      <w:r>
        <w:t xml:space="preserve"> </w:t>
      </w:r>
      <w:r>
        <w:t xml:space="preserve">2. Cliquer sur un bouton d’opération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Un message indiquant que les champs sont obligatoires est affiché</w:t>
      </w:r>
    </w:p>
    <w:p>
      <w:r>
        <w:pict>
          <v:rect style="width:0;height:1.5pt" o:hralign="center" o:hrstd="t" o:hr="t"/>
        </w:pict>
      </w:r>
    </w:p>
    <w:bookmarkEnd w:id="29"/>
    <w:bookmarkStart w:id="30" w:name="ft-09-appel-api-valide"/>
    <w:p>
      <w:pPr>
        <w:pStyle w:val="Heading3"/>
      </w:pPr>
      <w:r>
        <w:t xml:space="preserve">FT-09 – Appel API valide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FT-09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Appel API de calcul valide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le fonctionnement de l’API de calcul.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démarrée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Accéder à /api/calculate?a=6&amp;b=2&amp;operation=mul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La réponse contient result = 12</w:t>
      </w:r>
    </w:p>
    <w:p>
      <w:r>
        <w:pict>
          <v:rect style="width:0;height:1.5pt" o:hralign="center" o:hrstd="t" o:hr="t"/>
        </w:pict>
      </w:r>
    </w:p>
    <w:bookmarkEnd w:id="30"/>
    <w:bookmarkStart w:id="31" w:name="ft-10-appel-api-avec-opération-invalide"/>
    <w:p>
      <w:pPr>
        <w:pStyle w:val="Heading3"/>
      </w:pPr>
      <w:r>
        <w:t xml:space="preserve">FT-10 – Appel API avec opération invalide</w:t>
      </w:r>
    </w:p>
    <w:p>
      <w:pPr>
        <w:pStyle w:val="FirstParagraph"/>
      </w:pPr>
      <w:r>
        <w:rPr>
          <w:b/>
          <w:bCs/>
        </w:rPr>
        <w:t xml:space="preserve">Identifiant</w:t>
      </w:r>
      <w:r>
        <w:t xml:space="preserve"> </w:t>
      </w:r>
      <w:r>
        <w:t xml:space="preserve">: FT-10</w:t>
      </w:r>
      <w:r>
        <w:br/>
      </w:r>
      <w:r>
        <w:rPr>
          <w:b/>
          <w:bCs/>
        </w:rPr>
        <w:t xml:space="preserve">Nom</w:t>
      </w:r>
      <w:r>
        <w:t xml:space="preserve"> </w:t>
      </w:r>
      <w:r>
        <w:t xml:space="preserve">: Gestion des erreurs API</w:t>
      </w:r>
      <w:r>
        <w:br/>
      </w:r>
      <w:r>
        <w:rPr>
          <w:b/>
          <w:bCs/>
        </w:rPr>
        <w:t xml:space="preserve">Description</w:t>
      </w:r>
      <w:r>
        <w:t xml:space="preserve"> </w:t>
      </w:r>
      <w:r>
        <w:t xml:space="preserve">: Vérifier la gestion d’une opération inconnue.</w:t>
      </w:r>
    </w:p>
    <w:p>
      <w:pPr>
        <w:pStyle w:val="BodyText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démarrée</w:t>
      </w:r>
    </w:p>
    <w:p>
      <w:pPr>
        <w:pStyle w:val="BodyText"/>
      </w:pPr>
      <w:r>
        <w:rPr>
          <w:b/>
          <w:bCs/>
        </w:rPr>
        <w:t xml:space="preserve">Étapes</w:t>
      </w:r>
      <w:r>
        <w:t xml:space="preserve"> </w:t>
      </w:r>
      <w:r>
        <w:t xml:space="preserve">:</w:t>
      </w:r>
      <w:r>
        <w:t xml:space="preserve"> </w:t>
      </w:r>
      <w:r>
        <w:t xml:space="preserve">1. Accéder à /api/calculate?a=6&amp;b=2&amp;operation=test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Un message d’erreur explicite est retourné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structions-dutilisation-dans-squash-tm"/>
    <w:p>
      <w:pPr>
        <w:pStyle w:val="Heading2"/>
      </w:pPr>
      <w:r>
        <w:t xml:space="preserve">Instructions d’utilisation dans Squash TM</w:t>
      </w:r>
    </w:p>
    <w:p>
      <w:pPr>
        <w:pStyle w:val="Compact"/>
        <w:numPr>
          <w:ilvl w:val="0"/>
          <w:numId w:val="1002"/>
        </w:numPr>
      </w:pPr>
      <w:r>
        <w:t xml:space="preserve">Créer un nouveau projet dans Squash TM</w:t>
      </w:r>
    </w:p>
    <w:p>
      <w:pPr>
        <w:pStyle w:val="Compact"/>
        <w:numPr>
          <w:ilvl w:val="0"/>
          <w:numId w:val="1002"/>
        </w:numPr>
      </w:pPr>
      <w:r>
        <w:t xml:space="preserve">Créer un dossier « Calculatrice » dans la bibliothèque de tests</w:t>
      </w:r>
    </w:p>
    <w:p>
      <w:pPr>
        <w:pStyle w:val="Compact"/>
        <w:numPr>
          <w:ilvl w:val="0"/>
          <w:numId w:val="1002"/>
        </w:numPr>
      </w:pPr>
      <w:r>
        <w:t xml:space="preserve">Créer chaque cas de test avec les champs correspondants</w:t>
      </w:r>
    </w:p>
    <w:p>
      <w:pPr>
        <w:pStyle w:val="Compact"/>
        <w:numPr>
          <w:ilvl w:val="0"/>
          <w:numId w:val="1002"/>
        </w:numPr>
      </w:pPr>
      <w:r>
        <w:t xml:space="preserve">Associer les cas de tests aux exigences fonctionnelles</w:t>
      </w:r>
    </w:p>
    <w:p>
      <w:pPr>
        <w:pStyle w:val="Compact"/>
        <w:numPr>
          <w:ilvl w:val="0"/>
          <w:numId w:val="1002"/>
        </w:numPr>
      </w:pPr>
      <w:r>
        <w:t xml:space="preserve">Utiliser ces cas pour la recette fonctionnelle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Ces cas de tests sont prêts à être intégrés tels quels dans Squash TM. Ils assurent une traçabilité complète entre exigences fonctionnelles et validation du projet Calculatrice.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2026-01-28T10:27:49Z</dcterms:created>
  <dcterms:modified xsi:type="dcterms:W3CDTF">2026-01-28T10:27:49Z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