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pécifications-fonctionnelles"/>
    <w:p>
      <w:pPr>
        <w:pStyle w:val="Heading1"/>
      </w:pPr>
      <w:r>
        <w:t xml:space="preserve">Spécifications fonctionnelles</w:t>
      </w:r>
    </w:p>
    <w:bookmarkStart w:id="22" w:name="introduction"/>
    <w:p>
      <w:pPr>
        <w:pStyle w:val="Heading2"/>
      </w:pPr>
      <w:r>
        <w:t xml:space="preserve">1. Introduction</w:t>
      </w:r>
    </w:p>
    <w:bookmarkStart w:id="20" w:name="objectif-du-document"/>
    <w:p>
      <w:pPr>
        <w:pStyle w:val="Heading3"/>
      </w:pPr>
      <w:r>
        <w:t xml:space="preserve">1.1 Objectif du document</w:t>
      </w:r>
    </w:p>
    <w:p>
      <w:pPr>
        <w:pStyle w:val="FirstParagraph"/>
      </w:pPr>
      <w:r>
        <w:t xml:space="preserve">Ce document décrit les spécifications fonctionnelles du projet</w:t>
      </w:r>
      <w:r>
        <w:t xml:space="preserve"> </w:t>
      </w:r>
      <w:r>
        <w:rPr>
          <w:b/>
          <w:bCs/>
        </w:rPr>
        <w:t xml:space="preserve">Calculatrice</w:t>
      </w:r>
      <w:r>
        <w:t xml:space="preserve">. Il a pour objectif de définir précisément les fonctionnalités attendues de l’application, les règles de gestion, les parcours utilisateurs et les contraintes fonctionnelles, afin de servir de référence commune aux parties prenantes (développeur, testeur, chef de projet, client).</w:t>
      </w:r>
    </w:p>
    <w:bookmarkEnd w:id="20"/>
    <w:bookmarkStart w:id="21" w:name="périmètre-du-projet"/>
    <w:p>
      <w:pPr>
        <w:pStyle w:val="Heading3"/>
      </w:pPr>
      <w:r>
        <w:t xml:space="preserve">1.2 Périmètre du projet</w:t>
      </w:r>
    </w:p>
    <w:p>
      <w:pPr>
        <w:pStyle w:val="FirstParagraph"/>
      </w:pPr>
      <w:r>
        <w:t xml:space="preserve">Le projet consiste à développer une application web de type calculatrice permettant à un utilisateur d’effectuer des opérations mathématiques de base via une interface graphique, avec un backend exposant une API REST.</w:t>
      </w:r>
    </w:p>
    <w:p>
      <w:pPr>
        <w:pStyle w:val="BodyText"/>
      </w:pPr>
      <w:r>
        <w:t xml:space="preserve">Sont inclus dans le périmètre :</w:t>
      </w:r>
      <w:r>
        <w:t xml:space="preserve"> </w:t>
      </w:r>
      <w:r>
        <w:t xml:space="preserve">- L’interface utilisateur web</w:t>
      </w:r>
      <w:r>
        <w:t xml:space="preserve"> </w:t>
      </w:r>
      <w:r>
        <w:t xml:space="preserve">- Les opérations mathématiques de base</w:t>
      </w:r>
      <w:r>
        <w:t xml:space="preserve"> </w:t>
      </w:r>
      <w:r>
        <w:t xml:space="preserve">- L’API de calcul</w:t>
      </w:r>
      <w:r>
        <w:t xml:space="preserve"> </w:t>
      </w:r>
      <w:r>
        <w:t xml:space="preserve">- La gestion des erreurs</w:t>
      </w:r>
    </w:p>
    <w:p>
      <w:pPr>
        <w:pStyle w:val="BodyText"/>
      </w:pPr>
      <w:r>
        <w:t xml:space="preserve">Sont exclus du périmètre (version initiale) :</w:t>
      </w:r>
      <w:r>
        <w:t xml:space="preserve"> </w:t>
      </w:r>
      <w:r>
        <w:t xml:space="preserve">- Authentification utilisateur</w:t>
      </w:r>
      <w:r>
        <w:t xml:space="preserve"> </w:t>
      </w:r>
      <w:r>
        <w:t xml:space="preserve">- Stockage persistant des données</w:t>
      </w:r>
      <w:r>
        <w:t xml:space="preserve"> </w:t>
      </w:r>
      <w:r>
        <w:t xml:space="preserve">- Calculs scientifiques avancés</w:t>
      </w:r>
      <w:r>
        <w:t xml:space="preserve"> </w:t>
      </w:r>
      <w:r>
        <w:t xml:space="preserve">- Mode hors ligne</w:t>
      </w:r>
    </w:p>
    <w:p>
      <w:r>
        <w:pict>
          <v:rect style="width:0;height:1.5pt" o:hralign="center" o:hrstd="t" o:hr="t"/>
        </w:pict>
      </w:r>
    </w:p>
    <w:bookmarkEnd w:id="21"/>
    <w:bookmarkEnd w:id="22"/>
    <w:bookmarkStart w:id="23" w:name="références-et-définitions"/>
    <w:p>
      <w:pPr>
        <w:pStyle w:val="Heading2"/>
      </w:pPr>
      <w:r>
        <w:t xml:space="preserve">2. Références et définitions</w:t>
      </w:r>
    </w:p>
    <w:p>
      <w:pPr>
        <w:pStyle w:val="Compact"/>
        <w:numPr>
          <w:ilvl w:val="0"/>
          <w:numId w:val="1001"/>
        </w:numPr>
      </w:pPr>
      <w:r>
        <w:rPr>
          <w:b/>
          <w:bCs/>
        </w:rPr>
        <w:t xml:space="preserve">Utilisateur</w:t>
      </w:r>
      <w:r>
        <w:t xml:space="preserve"> </w:t>
      </w:r>
      <w:r>
        <w:t xml:space="preserve">: toute personne utilisant l’interface web de la calculatrice</w:t>
      </w:r>
    </w:p>
    <w:p>
      <w:pPr>
        <w:pStyle w:val="Compact"/>
        <w:numPr>
          <w:ilvl w:val="0"/>
          <w:numId w:val="1001"/>
        </w:numPr>
      </w:pPr>
      <w:r>
        <w:rPr>
          <w:b/>
          <w:bCs/>
        </w:rPr>
        <w:t xml:space="preserve">API</w:t>
      </w:r>
      <w:r>
        <w:t xml:space="preserve"> </w:t>
      </w:r>
      <w:r>
        <w:t xml:space="preserve">: interface de programmation permettant d’effectuer des calculs via des requêtes HTTP</w:t>
      </w:r>
    </w:p>
    <w:p>
      <w:pPr>
        <w:pStyle w:val="Compact"/>
        <w:numPr>
          <w:ilvl w:val="0"/>
          <w:numId w:val="1001"/>
        </w:numPr>
      </w:pPr>
      <w:r>
        <w:rPr>
          <w:b/>
          <w:bCs/>
        </w:rPr>
        <w:t xml:space="preserve">Reverse proxy</w:t>
      </w:r>
      <w:r>
        <w:t xml:space="preserve"> </w:t>
      </w:r>
      <w:r>
        <w:t xml:space="preserve">: composant (Nginx) servant d’intermédiaire entre le client et l’application backend</w:t>
      </w:r>
    </w:p>
    <w:p>
      <w:r>
        <w:pict>
          <v:rect style="width:0;height:1.5pt" o:hralign="center" o:hrstd="t" o:hr="t"/>
        </w:pict>
      </w:r>
    </w:p>
    <w:bookmarkEnd w:id="23"/>
    <w:bookmarkStart w:id="27" w:name="description-générale"/>
    <w:p>
      <w:pPr>
        <w:pStyle w:val="Heading2"/>
      </w:pPr>
      <w:r>
        <w:t xml:space="preserve">3. Description générale</w:t>
      </w:r>
    </w:p>
    <w:bookmarkStart w:id="24" w:name="présentation-du-produit"/>
    <w:p>
      <w:pPr>
        <w:pStyle w:val="Heading3"/>
      </w:pPr>
      <w:r>
        <w:t xml:space="preserve">3.1 Présentation du produit</w:t>
      </w:r>
    </w:p>
    <w:p>
      <w:pPr>
        <w:pStyle w:val="FirstParagraph"/>
      </w:pPr>
      <w:r>
        <w:t xml:space="preserve">L’application Calculatrice est une application web accessible via un navigateur, permettant d’effectuer des calculs simples. Elle repose sur une architecture client-serveur, avec un backend FastAPI containerisé et exposé via Nginx.</w:t>
      </w:r>
    </w:p>
    <w:bookmarkEnd w:id="24"/>
    <w:bookmarkStart w:id="25" w:name="profils-utilisateurs"/>
    <w:p>
      <w:pPr>
        <w:pStyle w:val="Heading3"/>
      </w:pPr>
      <w:r>
        <w:t xml:space="preserve">3.2 Profils utilisateurs</w:t>
      </w:r>
    </w:p>
    <w:tbl>
      <w:tblPr>
        <w:tblStyle w:val="Table"/>
        <w:tblW w:type="pct" w:w="5000"/>
        <w:tblLayout w:type="fixed"/>
        <w:tblLook w:firstRow="1" w:lastRow="0" w:firstColumn="0" w:lastColumn="0" w:noHBand="0" w:noVBand="0" w:val="0020"/>
      </w:tblPr>
      <w:tblGrid>
        <w:gridCol w:w="1760"/>
        <w:gridCol w:w="3813"/>
        <w:gridCol w:w="2346"/>
      </w:tblGrid>
      <w:tr>
        <w:trPr>
          <w:tblHeader w:val="on"/>
        </w:trPr>
        <w:tc>
          <w:tcPr/>
          <w:p>
            <w:pPr>
              <w:pStyle w:val="Compact"/>
            </w:pPr>
            <w:r>
              <w:t xml:space="preserve">Profil</w:t>
            </w:r>
          </w:p>
        </w:tc>
        <w:tc>
          <w:tcPr/>
          <w:p>
            <w:pPr>
              <w:pStyle w:val="Compact"/>
            </w:pPr>
            <w:r>
              <w:t xml:space="preserve">Description</w:t>
            </w:r>
          </w:p>
        </w:tc>
        <w:tc>
          <w:tcPr/>
          <w:p>
            <w:pPr>
              <w:pStyle w:val="Compact"/>
            </w:pPr>
            <w:r>
              <w:t xml:space="preserve">Droits</w:t>
            </w:r>
          </w:p>
        </w:tc>
      </w:tr>
      <w:tr>
        <w:tc>
          <w:tcPr/>
          <w:p>
            <w:pPr>
              <w:pStyle w:val="Compact"/>
            </w:pPr>
            <w:r>
              <w:t xml:space="preserve">Utilisateur standard</w:t>
            </w:r>
          </w:p>
        </w:tc>
        <w:tc>
          <w:tcPr/>
          <w:p>
            <w:pPr>
              <w:pStyle w:val="Compact"/>
            </w:pPr>
            <w:r>
              <w:t xml:space="preserve">Toute personne accédant à l’application</w:t>
            </w:r>
          </w:p>
        </w:tc>
        <w:tc>
          <w:tcPr/>
          <w:p>
            <w:pPr>
              <w:pStyle w:val="Compact"/>
            </w:pPr>
            <w:r>
              <w:t xml:space="preserve">Accès à toutes les fonctionnalités</w:t>
            </w:r>
          </w:p>
        </w:tc>
      </w:tr>
    </w:tbl>
    <w:p>
      <w:pPr>
        <w:pStyle w:val="BodyText"/>
      </w:pPr>
      <w:r>
        <w:t xml:space="preserve">Aucun système de rôles ou d’authentification n’est requis dans cette version.</w:t>
      </w:r>
    </w:p>
    <w:bookmarkEnd w:id="25"/>
    <w:bookmarkStart w:id="26" w:name="contraintes-générales"/>
    <w:p>
      <w:pPr>
        <w:pStyle w:val="Heading3"/>
      </w:pPr>
      <w:r>
        <w:t xml:space="preserve">3.3 Contraintes générales</w:t>
      </w:r>
    </w:p>
    <w:p>
      <w:pPr>
        <w:pStyle w:val="Compact"/>
        <w:numPr>
          <w:ilvl w:val="0"/>
          <w:numId w:val="1002"/>
        </w:numPr>
      </w:pPr>
      <w:r>
        <w:t xml:space="preserve">L’application doit être accessible via un navigateur moderne</w:t>
      </w:r>
    </w:p>
    <w:p>
      <w:pPr>
        <w:pStyle w:val="Compact"/>
        <w:numPr>
          <w:ilvl w:val="0"/>
          <w:numId w:val="1002"/>
        </w:numPr>
      </w:pPr>
      <w:r>
        <w:t xml:space="preserve">Le temps de réponse pour un calcul doit être inférieur à 1 seconde</w:t>
      </w:r>
    </w:p>
    <w:p>
      <w:pPr>
        <w:pStyle w:val="Compact"/>
        <w:numPr>
          <w:ilvl w:val="0"/>
          <w:numId w:val="1002"/>
        </w:numPr>
      </w:pPr>
      <w:r>
        <w:t xml:space="preserve">L’application doit être déployable via Docker</w:t>
      </w:r>
    </w:p>
    <w:p>
      <w:r>
        <w:pict>
          <v:rect style="width:0;height:1.5pt" o:hralign="center" o:hrstd="t" o:hr="t"/>
        </w:pict>
      </w:r>
    </w:p>
    <w:bookmarkEnd w:id="26"/>
    <w:bookmarkEnd w:id="27"/>
    <w:bookmarkStart w:id="33" w:name="fonctionnalités-détaillées"/>
    <w:p>
      <w:pPr>
        <w:pStyle w:val="Heading2"/>
      </w:pPr>
      <w:r>
        <w:t xml:space="preserve">4. Fonctionnalités détaillées</w:t>
      </w:r>
    </w:p>
    <w:bookmarkStart w:id="28" w:name="accès-à-lapplication"/>
    <w:p>
      <w:pPr>
        <w:pStyle w:val="Heading3"/>
      </w:pPr>
      <w:r>
        <w:t xml:space="preserve">4.1 Accès à l’application</w:t>
      </w:r>
    </w:p>
    <w:p>
      <w:pPr>
        <w:pStyle w:val="FirstParagraph"/>
      </w:pPr>
      <w:r>
        <w:rPr>
          <w:b/>
          <w:bCs/>
        </w:rPr>
        <w:t xml:space="preserve">Description</w:t>
      </w:r>
      <w:r>
        <w:br/>
      </w:r>
      <w:r>
        <w:t xml:space="preserve">L’utilisateur accède à l’application via une URL unique.</w:t>
      </w:r>
    </w:p>
    <w:p>
      <w:pPr>
        <w:pStyle w:val="BodyText"/>
      </w:pPr>
      <w:r>
        <w:rPr>
          <w:b/>
          <w:bCs/>
        </w:rPr>
        <w:t xml:space="preserve">Règles de gestion</w:t>
      </w:r>
      <w:r>
        <w:br/>
      </w:r>
      <w:r>
        <w:t xml:space="preserve">- L’application doit être accessible via le protocole HTTP</w:t>
      </w:r>
      <w:r>
        <w:t xml:space="preserve"> </w:t>
      </w:r>
      <w:r>
        <w:t xml:space="preserve">- La page d’accueil doit s’afficher automatiquement</w:t>
      </w:r>
    </w:p>
    <w:p>
      <w:r>
        <w:pict>
          <v:rect style="width:0;height:1.5pt" o:hralign="center" o:hrstd="t" o:hr="t"/>
        </w:pict>
      </w:r>
    </w:p>
    <w:bookmarkEnd w:id="28"/>
    <w:bookmarkStart w:id="29" w:name="saisie-des-opérandes"/>
    <w:p>
      <w:pPr>
        <w:pStyle w:val="Heading3"/>
      </w:pPr>
      <w:r>
        <w:t xml:space="preserve">4.2 Saisie des opérandes</w:t>
      </w:r>
    </w:p>
    <w:p>
      <w:pPr>
        <w:pStyle w:val="FirstParagraph"/>
      </w:pPr>
      <w:r>
        <w:rPr>
          <w:b/>
          <w:bCs/>
        </w:rPr>
        <w:t xml:space="preserve">Description</w:t>
      </w:r>
      <w:r>
        <w:br/>
      </w:r>
      <w:r>
        <w:t xml:space="preserve">L’utilisateur peut saisir deux nombres (opérandes) dans des champs de saisie.</w:t>
      </w:r>
    </w:p>
    <w:p>
      <w:pPr>
        <w:pStyle w:val="BodyText"/>
      </w:pPr>
      <w:r>
        <w:rPr>
          <w:b/>
          <w:bCs/>
        </w:rPr>
        <w:t xml:space="preserve">Règles de gestion</w:t>
      </w:r>
      <w:r>
        <w:br/>
      </w:r>
      <w:r>
        <w:t xml:space="preserve">- Les champs doivent accepter des nombres entiers et décimaux</w:t>
      </w:r>
      <w:r>
        <w:t xml:space="preserve"> </w:t>
      </w:r>
      <w:r>
        <w:t xml:space="preserve">- Les champs ne doivent pas être vides lors du calcul</w:t>
      </w:r>
    </w:p>
    <w:p>
      <w:pPr>
        <w:pStyle w:val="BodyText"/>
      </w:pPr>
      <w:r>
        <w:rPr>
          <w:b/>
          <w:bCs/>
        </w:rPr>
        <w:t xml:space="preserve">Cas d’erreur</w:t>
      </w:r>
      <w:r>
        <w:br/>
      </w:r>
      <w:r>
        <w:t xml:space="preserve">- Si un champ est vide, un message d’erreur est affiché</w:t>
      </w:r>
    </w:p>
    <w:p>
      <w:r>
        <w:pict>
          <v:rect style="width:0;height:1.5pt" o:hralign="center" o:hrstd="t" o:hr="t"/>
        </w:pict>
      </w:r>
    </w:p>
    <w:bookmarkEnd w:id="29"/>
    <w:bookmarkStart w:id="30" w:name="sélection-dune-opération"/>
    <w:p>
      <w:pPr>
        <w:pStyle w:val="Heading3"/>
      </w:pPr>
      <w:r>
        <w:t xml:space="preserve">4.3 Sélection d’une opération</w:t>
      </w:r>
    </w:p>
    <w:p>
      <w:pPr>
        <w:pStyle w:val="FirstParagraph"/>
      </w:pPr>
      <w:r>
        <w:rPr>
          <w:b/>
          <w:bCs/>
        </w:rPr>
        <w:t xml:space="preserve">Description</w:t>
      </w:r>
      <w:r>
        <w:br/>
      </w:r>
      <w:r>
        <w:t xml:space="preserve">L’utilisateur peut sélectionner une opération mathématique.</w:t>
      </w:r>
    </w:p>
    <w:p>
      <w:pPr>
        <w:pStyle w:val="BodyText"/>
      </w:pPr>
      <w:r>
        <w:rPr>
          <w:b/>
          <w:bCs/>
        </w:rPr>
        <w:t xml:space="preserve">Opérations disponibles</w:t>
      </w:r>
      <w:r>
        <w:br/>
      </w:r>
      <w:r>
        <w:t xml:space="preserve">- Addition</w:t>
      </w:r>
      <w:r>
        <w:t xml:space="preserve"> </w:t>
      </w:r>
      <w:r>
        <w:t xml:space="preserve">- Soustraction</w:t>
      </w:r>
      <w:r>
        <w:t xml:space="preserve"> </w:t>
      </w:r>
      <w:r>
        <w:t xml:space="preserve">- Multiplication</w:t>
      </w:r>
      <w:r>
        <w:t xml:space="preserve"> </w:t>
      </w:r>
      <w:r>
        <w:t xml:space="preserve">- Division</w:t>
      </w:r>
    </w:p>
    <w:p>
      <w:r>
        <w:pict>
          <v:rect style="width:0;height:1.5pt" o:hralign="center" o:hrstd="t" o:hr="t"/>
        </w:pict>
      </w:r>
    </w:p>
    <w:bookmarkEnd w:id="30"/>
    <w:bookmarkStart w:id="31" w:name="exécution-du-calcul"/>
    <w:p>
      <w:pPr>
        <w:pStyle w:val="Heading3"/>
      </w:pPr>
      <w:r>
        <w:t xml:space="preserve">4.4 Exécution du calcul</w:t>
      </w:r>
    </w:p>
    <w:p>
      <w:pPr>
        <w:pStyle w:val="FirstParagraph"/>
      </w:pPr>
      <w:r>
        <w:rPr>
          <w:b/>
          <w:bCs/>
        </w:rPr>
        <w:t xml:space="preserve">Description</w:t>
      </w:r>
      <w:r>
        <w:br/>
      </w:r>
      <w:r>
        <w:t xml:space="preserve">Lorsqu’une opération est sélectionnée, le calcul est envoyé à l’API backend.</w:t>
      </w:r>
    </w:p>
    <w:p>
      <w:pPr>
        <w:pStyle w:val="BodyText"/>
      </w:pPr>
      <w:r>
        <w:rPr>
          <w:b/>
          <w:bCs/>
        </w:rPr>
        <w:t xml:space="preserve">Règles de gestion</w:t>
      </w:r>
      <w:r>
        <w:br/>
      </w:r>
      <w:r>
        <w:t xml:space="preserve">- Le calcul est effectué côté serveur</w:t>
      </w:r>
      <w:r>
        <w:t xml:space="preserve"> </w:t>
      </w:r>
      <w:r>
        <w:t xml:space="preserve">- Le résultat est retourné au format JSON</w:t>
      </w:r>
      <w:r>
        <w:t xml:space="preserve"> </w:t>
      </w:r>
      <w:r>
        <w:t xml:space="preserve">- Le résultat est affiché dans l’interface utilisateur</w:t>
      </w:r>
    </w:p>
    <w:p>
      <w:r>
        <w:pict>
          <v:rect style="width:0;height:1.5pt" o:hralign="center" o:hrstd="t" o:hr="t"/>
        </w:pict>
      </w:r>
    </w:p>
    <w:bookmarkEnd w:id="31"/>
    <w:bookmarkStart w:id="32" w:name="gestion-des-erreurs"/>
    <w:p>
      <w:pPr>
        <w:pStyle w:val="Heading3"/>
      </w:pPr>
      <w:r>
        <w:t xml:space="preserve">4.5 Gestion des erreurs</w:t>
      </w:r>
    </w:p>
    <w:p>
      <w:pPr>
        <w:pStyle w:val="FirstParagraph"/>
      </w:pPr>
      <w:r>
        <w:rPr>
          <w:b/>
          <w:bCs/>
        </w:rPr>
        <w:t xml:space="preserve">Description</w:t>
      </w:r>
      <w:r>
        <w:br/>
      </w:r>
      <w:r>
        <w:t xml:space="preserve">L’application doit gérer les erreurs de manière explicite.</w:t>
      </w:r>
    </w:p>
    <w:p>
      <w:pPr>
        <w:pStyle w:val="BodyText"/>
      </w:pPr>
      <w:r>
        <w:rPr>
          <w:b/>
          <w:bCs/>
        </w:rPr>
        <w:t xml:space="preserve">Cas d’erreur pris en charge</w:t>
      </w:r>
      <w:r>
        <w:br/>
      </w:r>
      <w:r>
        <w:t xml:space="preserve">- Division par zéro</w:t>
      </w:r>
      <w:r>
        <w:t xml:space="preserve"> </w:t>
      </w:r>
      <w:r>
        <w:t xml:space="preserve">- Opération inconnue</w:t>
      </w:r>
      <w:r>
        <w:t xml:space="preserve"> </w:t>
      </w:r>
      <w:r>
        <w:t xml:space="preserve">- Paramètres invalides</w:t>
      </w:r>
    </w:p>
    <w:p>
      <w:pPr>
        <w:pStyle w:val="BodyText"/>
      </w:pPr>
      <w:r>
        <w:rPr>
          <w:b/>
          <w:bCs/>
        </w:rPr>
        <w:t xml:space="preserve">Comportement attendu</w:t>
      </w:r>
      <w:r>
        <w:br/>
      </w:r>
      <w:r>
        <w:t xml:space="preserve">- Affichage d’un message d’erreur clair à l’utilisateur</w:t>
      </w:r>
      <w:r>
        <w:t xml:space="preserve"> </w:t>
      </w:r>
      <w:r>
        <w:t xml:space="preserve">- Aucun crash de l’application</w:t>
      </w:r>
    </w:p>
    <w:p>
      <w:r>
        <w:pict>
          <v:rect style="width:0;height:1.5pt" o:hralign="center" o:hrstd="t" o:hr="t"/>
        </w:pict>
      </w:r>
    </w:p>
    <w:bookmarkEnd w:id="32"/>
    <w:bookmarkEnd w:id="33"/>
    <w:bookmarkStart w:id="35" w:name="api-spécifications-fonctionnelles"/>
    <w:p>
      <w:pPr>
        <w:pStyle w:val="Heading2"/>
      </w:pPr>
      <w:r>
        <w:t xml:space="preserve">5. API – Spécifications fonctionnelles</w:t>
      </w:r>
    </w:p>
    <w:bookmarkStart w:id="34" w:name="endpoint-de-calcul"/>
    <w:p>
      <w:pPr>
        <w:pStyle w:val="Heading3"/>
      </w:pPr>
      <w:r>
        <w:t xml:space="preserve">5.1 Endpoint de calcul</w:t>
      </w:r>
    </w:p>
    <w:p>
      <w:pPr>
        <w:pStyle w:val="FirstParagraph"/>
      </w:pPr>
      <w:r>
        <w:rPr>
          <w:b/>
          <w:bCs/>
        </w:rPr>
        <w:t xml:space="preserve">URL</w:t>
      </w:r>
      <w:r>
        <w:br/>
      </w:r>
      <w:r>
        <w:t xml:space="preserve">/api/calculate</w:t>
      </w:r>
    </w:p>
    <w:p>
      <w:pPr>
        <w:pStyle w:val="BodyText"/>
      </w:pPr>
      <w:r>
        <w:rPr>
          <w:b/>
          <w:bCs/>
        </w:rPr>
        <w:t xml:space="preserve">Méthode</w:t>
      </w:r>
      <w:r>
        <w:br/>
      </w:r>
      <w:r>
        <w:t xml:space="preserve">GET</w:t>
      </w:r>
    </w:p>
    <w:p>
      <w:pPr>
        <w:pStyle w:val="BodyText"/>
      </w:pPr>
      <w:r>
        <w:rPr>
          <w:b/>
          <w:bCs/>
        </w:rPr>
        <w:t xml:space="preserve">Paramètres</w:t>
      </w:r>
      <w:r>
        <w:br/>
      </w:r>
      <w:r>
        <w:t xml:space="preserve">| Nom | Type | Obligatoire | Description |</w:t>
      </w:r>
      <w:r>
        <w:t xml:space="preserve"> </w:t>
      </w:r>
      <w:r>
        <w:t xml:space="preserve">|—-|——|————|————-|</w:t>
      </w:r>
      <w:r>
        <w:t xml:space="preserve"> </w:t>
      </w:r>
      <w:r>
        <w:t xml:space="preserve">| a | float | Oui | Premier opérande |</w:t>
      </w:r>
      <w:r>
        <w:t xml:space="preserve"> </w:t>
      </w:r>
      <w:r>
        <w:t xml:space="preserve">| b | float | Oui | Second opérande |</w:t>
      </w:r>
      <w:r>
        <w:t xml:space="preserve"> </w:t>
      </w:r>
      <w:r>
        <w:t xml:space="preserve">| operation | string | Oui | Type d’opération |</w:t>
      </w:r>
    </w:p>
    <w:p>
      <w:pPr>
        <w:pStyle w:val="BodyText"/>
      </w:pPr>
      <w:r>
        <w:rPr>
          <w:b/>
          <w:bCs/>
        </w:rPr>
        <w:t xml:space="preserve">Valeurs autorisées pour operation</w:t>
      </w:r>
      <w:r>
        <w:br/>
      </w:r>
      <w:r>
        <w:t xml:space="preserve">- add</w:t>
      </w:r>
      <w:r>
        <w:t xml:space="preserve"> </w:t>
      </w:r>
      <w:r>
        <w:t xml:space="preserve">- sub</w:t>
      </w:r>
      <w:r>
        <w:t xml:space="preserve"> </w:t>
      </w:r>
      <w:r>
        <w:t xml:space="preserve">- mul</w:t>
      </w:r>
      <w:r>
        <w:t xml:space="preserve"> </w:t>
      </w:r>
      <w:r>
        <w:t xml:space="preserve">- div</w:t>
      </w:r>
    </w:p>
    <w:p>
      <w:pPr>
        <w:pStyle w:val="BodyText"/>
      </w:pPr>
      <w:r>
        <w:rPr>
          <w:b/>
          <w:bCs/>
        </w:rPr>
        <w:t xml:space="preserve">Réponse succès</w:t>
      </w:r>
    </w:p>
    <w:p>
      <w:pPr>
        <w:pStyle w:val="SourceCode"/>
      </w:pP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p>
    <w:p>
      <w:pPr>
        <w:pStyle w:val="FirstParagraph"/>
      </w:pPr>
      <w:r>
        <w:rPr>
          <w:b/>
          <w:bCs/>
        </w:rPr>
        <w:t xml:space="preserve">Réponse erreur</w:t>
      </w:r>
    </w:p>
    <w:p>
      <w:pPr>
        <w:pStyle w:val="SourceCode"/>
      </w:pP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"Message d’erreur"</w:t>
      </w:r>
      <w:r>
        <w:rPr>
          <w:rStyle w:val="NormalTok"/>
        </w:rPr>
        <w:t xml:space="preserve"> </w:t>
      </w:r>
      <w:r>
        <w:rPr>
          <w:rStyle w:val="FunctionTok"/>
        </w:rPr>
        <w:t xml:space="preserve">}</w:t>
      </w:r>
    </w:p>
    <w:p>
      <w:r>
        <w:pict>
          <v:rect style="width:0;height:1.5pt" o:hralign="center" o:hrstd="t" o:hr="t"/>
        </w:pict>
      </w:r>
    </w:p>
    <w:bookmarkEnd w:id="34"/>
    <w:bookmarkEnd w:id="35"/>
    <w:bookmarkStart w:id="40" w:name="exigences-non-fonctionnelles"/>
    <w:p>
      <w:pPr>
        <w:pStyle w:val="Heading2"/>
      </w:pPr>
      <w:r>
        <w:t xml:space="preserve">6. Exigences non fonctionnelles</w:t>
      </w:r>
    </w:p>
    <w:bookmarkStart w:id="36" w:name="performance"/>
    <w:p>
      <w:pPr>
        <w:pStyle w:val="Heading3"/>
      </w:pPr>
      <w:r>
        <w:t xml:space="preserve">6.1 Performance</w:t>
      </w:r>
    </w:p>
    <w:p>
      <w:pPr>
        <w:pStyle w:val="Compact"/>
        <w:numPr>
          <w:ilvl w:val="0"/>
          <w:numId w:val="1003"/>
        </w:numPr>
      </w:pPr>
      <w:r>
        <w:t xml:space="preserve">Temps de réponse &lt; 1 seconde</w:t>
      </w:r>
    </w:p>
    <w:p>
      <w:pPr>
        <w:pStyle w:val="Compact"/>
        <w:numPr>
          <w:ilvl w:val="0"/>
          <w:numId w:val="1003"/>
        </w:numPr>
      </w:pPr>
      <w:r>
        <w:t xml:space="preserve">Support d’au moins 50 requêtes simultanées</w:t>
      </w:r>
    </w:p>
    <w:bookmarkEnd w:id="36"/>
    <w:bookmarkStart w:id="37" w:name="sécurité"/>
    <w:p>
      <w:pPr>
        <w:pStyle w:val="Heading3"/>
      </w:pPr>
      <w:r>
        <w:t xml:space="preserve">6.2 Sécurité</w:t>
      </w:r>
    </w:p>
    <w:p>
      <w:pPr>
        <w:pStyle w:val="Compact"/>
        <w:numPr>
          <w:ilvl w:val="0"/>
          <w:numId w:val="1004"/>
        </w:numPr>
      </w:pPr>
      <w:r>
        <w:t xml:space="preserve">L’application ne doit pas exposer directement le backend</w:t>
      </w:r>
    </w:p>
    <w:p>
      <w:pPr>
        <w:pStyle w:val="Compact"/>
        <w:numPr>
          <w:ilvl w:val="0"/>
          <w:numId w:val="1004"/>
        </w:numPr>
      </w:pPr>
      <w:r>
        <w:t xml:space="preserve">Le trafic doit passer par un reverse proxy</w:t>
      </w:r>
    </w:p>
    <w:bookmarkEnd w:id="37"/>
    <w:bookmarkStart w:id="38" w:name="déploiement"/>
    <w:p>
      <w:pPr>
        <w:pStyle w:val="Heading3"/>
      </w:pPr>
      <w:r>
        <w:t xml:space="preserve">6.3 Déploiement</w:t>
      </w:r>
    </w:p>
    <w:p>
      <w:pPr>
        <w:pStyle w:val="Compact"/>
        <w:numPr>
          <w:ilvl w:val="0"/>
          <w:numId w:val="1005"/>
        </w:numPr>
      </w:pPr>
      <w:r>
        <w:t xml:space="preserve">L’application doit être déployable via Docker Compose</w:t>
      </w:r>
    </w:p>
    <w:p>
      <w:pPr>
        <w:pStyle w:val="Compact"/>
        <w:numPr>
          <w:ilvl w:val="0"/>
          <w:numId w:val="1005"/>
        </w:numPr>
      </w:pPr>
      <w:r>
        <w:t xml:space="preserve">Les services doivent être isolés dans des conteneurs distincts</w:t>
      </w:r>
    </w:p>
    <w:bookmarkEnd w:id="38"/>
    <w:bookmarkStart w:id="39" w:name="maintenabilité"/>
    <w:p>
      <w:pPr>
        <w:pStyle w:val="Heading3"/>
      </w:pPr>
      <w:r>
        <w:t xml:space="preserve">6.4 Maintenabilité</w:t>
      </w:r>
    </w:p>
    <w:p>
      <w:pPr>
        <w:pStyle w:val="Compact"/>
        <w:numPr>
          <w:ilvl w:val="0"/>
          <w:numId w:val="1006"/>
        </w:numPr>
      </w:pPr>
      <w:r>
        <w:t xml:space="preserve">Code structuré et lisible</w:t>
      </w:r>
    </w:p>
    <w:p>
      <w:pPr>
        <w:pStyle w:val="Compact"/>
        <w:numPr>
          <w:ilvl w:val="0"/>
          <w:numId w:val="1006"/>
        </w:numPr>
      </w:pPr>
      <w:r>
        <w:t xml:space="preserve">Séparation claire frontend / backend</w:t>
      </w:r>
    </w:p>
    <w:p>
      <w:r>
        <w:pict>
          <v:rect style="width:0;height:1.5pt" o:hralign="center" o:hrstd="t" o:hr="t"/>
        </w:pict>
      </w:r>
    </w:p>
    <w:bookmarkEnd w:id="39"/>
    <w:bookmarkEnd w:id="40"/>
    <w:bookmarkStart w:id="41" w:name="hypothèses-et-contraintes"/>
    <w:p>
      <w:pPr>
        <w:pStyle w:val="Heading2"/>
      </w:pPr>
      <w:r>
        <w:t xml:space="preserve">7. Hypothèses et contraintes</w:t>
      </w:r>
    </w:p>
    <w:p>
      <w:pPr>
        <w:pStyle w:val="Compact"/>
        <w:numPr>
          <w:ilvl w:val="0"/>
          <w:numId w:val="1007"/>
        </w:numPr>
      </w:pPr>
      <w:r>
        <w:t xml:space="preserve">L’utilisateur dispose d’un navigateur récent</w:t>
      </w:r>
    </w:p>
    <w:p>
      <w:pPr>
        <w:pStyle w:val="Compact"/>
        <w:numPr>
          <w:ilvl w:val="0"/>
          <w:numId w:val="1007"/>
        </w:numPr>
      </w:pPr>
      <w:r>
        <w:t xml:space="preserve">Aucun stockage de données n’est requis</w:t>
      </w:r>
    </w:p>
    <w:p>
      <w:pPr>
        <w:pStyle w:val="Compact"/>
        <w:numPr>
          <w:ilvl w:val="0"/>
          <w:numId w:val="1007"/>
        </w:numPr>
      </w:pPr>
      <w:r>
        <w:t xml:space="preserve">L’application est utilisée à des fins pédagogiques</w:t>
      </w:r>
    </w:p>
    <w:p>
      <w:r>
        <w:pict>
          <v:rect style="width:0;height:1.5pt" o:hralign="center" o:hrstd="t" o:hr="t"/>
        </w:pict>
      </w:r>
    </w:p>
    <w:bookmarkEnd w:id="41"/>
    <w:bookmarkStart w:id="42" w:name="évolutions-envisagées"/>
    <w:p>
      <w:pPr>
        <w:pStyle w:val="Heading2"/>
      </w:pPr>
      <w:r>
        <w:t xml:space="preserve">8. Évolutions envisagées</w:t>
      </w:r>
    </w:p>
    <w:p>
      <w:pPr>
        <w:pStyle w:val="Compact"/>
        <w:numPr>
          <w:ilvl w:val="0"/>
          <w:numId w:val="1008"/>
        </w:numPr>
      </w:pPr>
      <w:r>
        <w:t xml:space="preserve">Calculatrice scientifique</w:t>
      </w:r>
    </w:p>
    <w:p>
      <w:pPr>
        <w:pStyle w:val="Compact"/>
        <w:numPr>
          <w:ilvl w:val="0"/>
          <w:numId w:val="1008"/>
        </w:numPr>
      </w:pPr>
      <w:r>
        <w:t xml:space="preserve">Historique des calculs</w:t>
      </w:r>
    </w:p>
    <w:p>
      <w:pPr>
        <w:pStyle w:val="Compact"/>
        <w:numPr>
          <w:ilvl w:val="0"/>
          <w:numId w:val="1008"/>
        </w:numPr>
      </w:pPr>
      <w:r>
        <w:t xml:space="preserve">Authentification utilisateur</w:t>
      </w:r>
    </w:p>
    <w:p>
      <w:pPr>
        <w:pStyle w:val="Compact"/>
        <w:numPr>
          <w:ilvl w:val="0"/>
          <w:numId w:val="1008"/>
        </w:numPr>
      </w:pPr>
      <w:r>
        <w:t xml:space="preserve">Mode HTTPS</w:t>
      </w:r>
    </w:p>
    <w:p>
      <w:pPr>
        <w:pStyle w:val="Compact"/>
        <w:numPr>
          <w:ilvl w:val="0"/>
          <w:numId w:val="1008"/>
        </w:numPr>
      </w:pPr>
      <w:r>
        <w:t xml:space="preserve">Internationalisation</w:t>
      </w:r>
    </w:p>
    <w:p>
      <w:r>
        <w:pict>
          <v:rect style="width:0;height:1.5pt" o:hralign="center" o:hrstd="t" o:hr="t"/>
        </w:pict>
      </w:r>
    </w:p>
    <w:bookmarkEnd w:id="42"/>
    <w:bookmarkStart w:id="43" w:name="validation"/>
    <w:p>
      <w:pPr>
        <w:pStyle w:val="Heading2"/>
      </w:pPr>
      <w:r>
        <w:t xml:space="preserve">9. Validation</w:t>
      </w:r>
    </w:p>
    <w:p>
      <w:pPr>
        <w:pStyle w:val="FirstParagraph"/>
      </w:pPr>
      <w:r>
        <w:t xml:space="preserve">Ce document servira de référence pour :</w:t>
      </w:r>
      <w:r>
        <w:t xml:space="preserve"> </w:t>
      </w:r>
      <w:r>
        <w:t xml:space="preserve">- Le développement</w:t>
      </w:r>
      <w:r>
        <w:t xml:space="preserve"> </w:t>
      </w:r>
      <w:r>
        <w:t xml:space="preserve">- Les tests fonctionnels</w:t>
      </w:r>
      <w:r>
        <w:t xml:space="preserve"> </w:t>
      </w:r>
      <w:r>
        <w:t xml:space="preserve">- La validation du projet</w:t>
      </w:r>
    </w:p>
    <w:p>
      <w:pPr>
        <w:pStyle w:val="BodyText"/>
      </w:pPr>
      <w:r>
        <w:t xml:space="preserve">Toute modification des fonctionnalités devra faire l’objet d’une mise à jour de ce document.</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2026-01-28T09:32:29Z</dcterms:created>
  <dcterms:modified xsi:type="dcterms:W3CDTF">2026-01-28T09:32:29Z</dcterms:modified>
</cp:coreProperties>
</file>

<file path=docProps/custom.xml><?xml version="1.0" encoding="utf-8"?>
<Properties xmlns="http://schemas.openxmlformats.org/officeDocument/2006/custom-properties" xmlns:vt="http://schemas.openxmlformats.org/officeDocument/2006/docPropsVTypes"/>
</file>