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IBM Plex Mono" w:cs="IBM Plex Mono" w:eastAsia="IBM Plex Mono" w:hAnsi="IBM Plex Mono"/>
          <w:b/>
          <w:bCs/>
          <w:color w:val="A85A28"/>
          <w:spacing w:val="20"/>
          <w:sz w:val="18"/>
          <w:szCs w:val="18"/>
        </w:rPr>
        <w:t xml:space="preserve">PROJECT PLAN REVIEW — DANIELESALPIETRO/VMEMORYFABRIC</w:t>
      </w:r>
    </w:p>
    <w:p>
      <w:pPr>
        <w:spacing w:after="160"/>
      </w:pPr>
      <w:r>
        <w:rPr>
          <w:rFonts w:ascii="IBM Plex Sans" w:cs="IBM Plex Sans" w:eastAsia="IBM Plex Sans" w:hAnsi="IBM Plex Sans"/>
          <w:b/>
          <w:bCs/>
          <w:color w:val="1A1E27"/>
          <w:sz w:val="52"/>
          <w:szCs w:val="52"/>
        </w:rPr>
        <w:t xml:space="preserve">OSX Sprint 5 Review</w:t>
      </w:r>
    </w:p>
    <w:p>
      <w:pPr>
        <w:spacing w:after="160" w:line="320"/>
      </w:pPr>
      <w:r>
        <w:rPr>
          <w:rFonts w:ascii="IBM Plex Sans" w:cs="IBM Plex Sans" w:eastAsia="IBM Plex Sans" w:hAnsi="IBM Plex Sans"/>
          <w:color w:val="5B6472"/>
          <w:sz w:val="22"/>
          <w:szCs w:val="22"/>
        </w:rPr>
        <w:t xml:space="preserve">Lettura incrociata di README, CHANGELOG, dei report tecnici e delle 39 issue GitHub (26 aperte, 13 chiuse) del progetto OSX / vMemoryFabric, alla vigilia del target auto-imposto di fine Sprint 5.</w:t>
      </w:r>
    </w:p>
    <w:p>
      <w:pPr>
        <w:spacing w:after="260" w:line="300"/>
      </w:pPr>
      <w:r>
        <w:rPr>
          <w:rFonts w:ascii="IBM Plex Sans" w:cs="IBM Plex Sans" w:eastAsia="IBM Plex Sans" w:hAnsi="IBM Plex Sans"/>
          <w:b/>
          <w:bCs/>
          <w:color w:val="5B6472"/>
          <w:sz w:val="19"/>
          <w:szCs w:val="19"/>
        </w:rPr>
        <w:t xml:space="preserve">Data review: </w:t>
      </w:r>
      <w:r>
        <w:rPr>
          <w:rFonts w:ascii="IBM Plex Mono" w:cs="IBM Plex Mono" w:eastAsia="IBM Plex Mono" w:hAnsi="IBM Plex Mono"/>
          <w:color w:val="5B6472"/>
          <w:sz w:val="19"/>
          <w:szCs w:val="19"/>
        </w:rPr>
        <w:t xml:space="preserve">25 ago 2026   </w:t>
      </w:r>
      <w:r>
        <w:rPr>
          <w:rFonts w:ascii="IBM Plex Sans" w:cs="IBM Plex Sans" w:eastAsia="IBM Plex Sans" w:hAnsi="IBM Plex Sans"/>
          <w:b/>
          <w:bCs/>
          <w:color w:val="5B6472"/>
          <w:sz w:val="19"/>
          <w:szCs w:val="19"/>
        </w:rPr>
        <w:t xml:space="preserve">Release corrente: </w:t>
      </w:r>
      <w:r>
        <w:rPr>
          <w:rFonts w:ascii="IBM Plex Mono" w:cs="IBM Plex Mono" w:eastAsia="IBM Plex Mono" w:hAnsi="IBM Plex Mono"/>
          <w:color w:val="5B6472"/>
          <w:sz w:val="19"/>
          <w:szCs w:val="19"/>
        </w:rPr>
        <w:t xml:space="preserve">Tekniska v0.5.0-dev · Berg v0.6.0-dev in corso   </w:t>
      </w:r>
      <w:r>
        <w:rPr>
          <w:rFonts w:ascii="IBM Plex Sans" w:cs="IBM Plex Sans" w:eastAsia="IBM Plex Sans" w:hAnsi="IBM Plex Sans"/>
          <w:b/>
          <w:bCs/>
          <w:color w:val="5B6472"/>
          <w:sz w:val="19"/>
          <w:szCs w:val="19"/>
        </w:rPr>
        <w:t xml:space="preserve">Sprint attiva: </w:t>
      </w:r>
      <w:r>
        <w:rPr>
          <w:rFonts w:ascii="IBM Plex Mono" w:cs="IBM Plex Mono" w:eastAsia="IBM Plex Mono" w:hAnsi="IBM Plex Mono"/>
          <w:color w:val="5B6472"/>
          <w:sz w:val="19"/>
          <w:szCs w:val="19"/>
        </w:rPr>
        <w:t xml:space="preserve">5 — Berg (PoC delivery + paper)   </w:t>
      </w:r>
      <w:r>
        <w:rPr>
          <w:rFonts w:ascii="IBM Plex Sans" w:cs="IBM Plex Sans" w:eastAsia="IBM Plex Sans" w:hAnsi="IBM Plex Sans"/>
          <w:b/>
          <w:bCs/>
          <w:color w:val="5B6472"/>
          <w:sz w:val="19"/>
          <w:szCs w:val="19"/>
        </w:rPr>
        <w:t xml:space="preserve">Target dichiarato: </w:t>
      </w:r>
      <w:r>
        <w:rPr>
          <w:rFonts w:ascii="IBM Plex Mono" w:cs="IBM Plex Mono" w:eastAsia="IBM Plex Mono" w:hAnsi="IBM Plex Mono"/>
          <w:color w:val="5B6472"/>
          <w:sz w:val="19"/>
          <w:szCs w:val="19"/>
        </w:rPr>
        <w:t xml:space="preserve">31 ago 2026</w:t>
      </w:r>
    </w:p>
    <w:tbl>
      <w:tblPr>
        <w:tblW w:type="dxa" w:w="10000"/>
        <w:tblBorders>
          <w:top w:val="single" w:color="D6DAE2" w:sz="4"/>
          <w:left w:val="single" w:color="D6DAE2" w:sz="4"/>
          <w:bottom w:val="single" w:color="D6DAE2" w:sz="4"/>
          <w:right w:val="single" w:color="D6DAE2" w:sz="4"/>
          <w:insideH w:val="single" w:color="D6DAE2" w:sz="2"/>
          <w:insideV w:val="single" w:color="D6DAE2" w:sz="2"/>
        </w:tblBorders>
      </w:tblPr>
      <w:tblGrid>
        <w:gridCol w:w="20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6 GIORNI</w:t>
            </w:r>
          </w:p>
        </w:tc>
        <w:tc>
          <w:tcPr>
            <w:tcW w:type="dxa" w:w="20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3 / 4</w:t>
            </w:r>
          </w:p>
        </w:tc>
        <w:tc>
          <w:tcPr>
            <w:tcW w:type="dxa" w:w="20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26</w:t>
            </w:r>
          </w:p>
        </w:tc>
        <w:tc>
          <w:tcPr>
            <w:tcW w:type="dxa" w:w="20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16 / 26</w:t>
            </w:r>
          </w:p>
        </w:tc>
        <w:tc>
          <w:tcPr>
            <w:tcW w:type="dxa" w:w="20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al target auto-dichiarato del paper (31 ago)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target non funzionali del PoC pienamente confermati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issue aperte su GitHub (contro 13 chiuse)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issue aperte create tra il 16 e il 24 ago — la finestra assegnata al paper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file prodotti finora nel filone B4 (osx-poc/paper/ non esiste)</w:t>
            </w:r>
          </w:p>
        </w:tc>
      </w:tr>
    </w:tbl>
    <w:p>
      <w:pPr>
        <w:spacing w:after="40"/>
      </w:pPr>
    </w:p>
    <w:p>
      <w:pPr>
        <w:spacing w:after="20" w:before="200"/>
      </w:pPr>
      <w:r>
        <w:rPr>
          <w:rFonts w:ascii="IBM Plex Mono" w:cs="IBM Plex Mono" w:eastAsia="IBM Plex Mono" w:hAnsi="IBM Plex Mono"/>
          <w:b/>
          <w:bCs/>
          <w:color w:val="A85A28"/>
          <w:spacing w:val="20"/>
          <w:sz w:val="17"/>
          <w:szCs w:val="17"/>
        </w:rPr>
        <w:t xml:space="preserve">01 — SINTESI</w:t>
      </w:r>
    </w:p>
    <w:p>
      <w:pPr>
        <w:pStyle w:val="Heading1"/>
        <w:pBdr>
          <w:bottom w:val="single" w:color="A85A28" w:sz="6" w:space="6"/>
        </w:pBdr>
        <w:spacing w:after="160" w:before="420"/>
      </w:pPr>
      <w:r>
        <w:rPr>
          <w:rFonts w:ascii="IBM Plex Sans" w:cs="IBM Plex Sans" w:eastAsia="IBM Plex Sans" w:hAnsi="IBM Plex Sans"/>
          <w:b/>
          <w:bCs/>
          <w:color w:val="1A1E27"/>
          <w:sz w:val="30"/>
          <w:szCs w:val="30"/>
        </w:rPr>
        <w:t xml:space="preserve">Il PoC è tecnicamente solido; il piano di consegna sta scivolando</w:t>
      </w:r>
    </w:p>
    <w:p>
      <w:pPr>
        <w:spacing w:after="160" w:line="320"/>
      </w:pP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Il lavoro applicativo (M1/M2/M3, i quattro sprint 0–4) è completo, mersato e verificato su hardware reale con una disciplina metodologica superiore alla media — misure ripetute, risultati negativi dichiarati onestamente, nessun numero sovrascritto silenziosamente. Il rischio non è nel codice: è nel piano stesso della Sprint 5 (Berg), che a sei giorni dal proprio target dichiarato ha completato la metà a bassa incertezza (delivery del PoC) e quasi nulla della metà a rischio più alto (il paper), mentre il tempo è stato assorbito da tre filoni di lavoro non previsti dal piano.</w:t>
      </w:r>
    </w:p>
    <w:p>
      <w:pPr>
        <w:spacing w:after="160" w:line="320"/>
      </w:pP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Questa review copre: lo stato reale della roadmap rispetto a quanto dichiarato in README/CHANGELOG; i quattro target di accettazione del PoC; il rischio principale identificato (deriva del Filone B / paper); un triage del backlog di 26 issue aperte per categoria e urgenza; un confronto puntuale tra ciò che i documenti dichiarano chiuso e ciò che risulta davvero mersato su develop; e una lista di raccomandazioni ordinate per priorità.</w:t>
      </w:r>
    </w:p>
    <w:p>
      <w:pPr>
        <w:spacing w:after="20" w:before="200"/>
      </w:pPr>
      <w:r>
        <w:rPr>
          <w:rFonts w:ascii="IBM Plex Mono" w:cs="IBM Plex Mono" w:eastAsia="IBM Plex Mono" w:hAnsi="IBM Plex Mono"/>
          <w:b/>
          <w:bCs/>
          <w:color w:val="A85A28"/>
          <w:spacing w:val="20"/>
          <w:sz w:val="17"/>
          <w:szCs w:val="17"/>
        </w:rPr>
        <w:t xml:space="preserve">02 — ROADMAP VS. REALTÀ</w:t>
      </w:r>
    </w:p>
    <w:p>
      <w:pPr>
        <w:pStyle w:val="Heading1"/>
        <w:pBdr>
          <w:bottom w:val="single" w:color="A85A28" w:sz="6" w:space="6"/>
        </w:pBdr>
        <w:spacing w:after="160" w:before="420"/>
      </w:pPr>
      <w:r>
        <w:rPr>
          <w:rFonts w:ascii="IBM Plex Sans" w:cs="IBM Plex Sans" w:eastAsia="IBM Plex Sans" w:hAnsi="IBM Plex Sans"/>
          <w:b/>
          <w:bCs/>
          <w:color w:val="1A1E27"/>
          <w:sz w:val="30"/>
          <w:szCs w:val="30"/>
        </w:rPr>
        <w:t xml:space="preserve">Sette filoni paralleli, uno dei quali è il piano stesso</w:t>
      </w:r>
    </w:p>
    <w:p>
      <w:pPr>
        <w:spacing w:after="160" w:line="320"/>
      </w:pP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La tabella roadmap del README riporta Sprint 0–4 come completi e mersati (PR #9, #29, #25, #26), Sprint 5 (Berg) in corso, Sprint 6 (Stockholm, telemetria) in attesa, e Marstrand come filone di ricerca parallelo sul component-reuse rispetto a Petals/ExLlamaV2/V3/tabbyAPI. Fin qui coerente con quanto verificato su GitHub.</w:t>
      </w:r>
    </w:p>
    <w:p>
      <w:pPr>
        <w:spacing w:after="160" w:line="320"/>
      </w:pP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Il punto debole è dentro la Sprint 5 stessa: il piano dichiarato in sprint5_berg_plan.md (12 ago) definisce due filoni dipendenti ma paralleli — </w:t>
      </w:r>
      <w:r>
        <w:rPr>
          <w:rFonts w:ascii="IBM Plex Sans" w:cs="IBM Plex Sans" w:eastAsia="IBM Plex Sans" w:hAnsi="IBM Plex Sans"/>
          <w:b/>
          <w:bCs/>
          <w:color w:val="1A1E27"/>
          <w:sz w:val="21"/>
          <w:szCs w:val="21"/>
        </w:rPr>
        <w:t xml:space="preserve">Filone A</w:t>
      </w: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 (PoC delivery: triage issue, report finale, riproducibilità, release) e </w:t>
      </w:r>
      <w:r>
        <w:rPr>
          <w:rFonts w:ascii="IBM Plex Sans" w:cs="IBM Plex Sans" w:eastAsia="IBM Plex Sans" w:hAnsi="IBM Plex Sans"/>
          <w:b/>
          <w:bCs/>
          <w:color w:val="1A1E27"/>
          <w:sz w:val="21"/>
          <w:szCs w:val="21"/>
        </w:rPr>
        <w:t xml:space="preserve">Filone B</w:t>
      </w: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 (paper: related-work survey, outline, scrittura, revisione, submission arXiv) — con un target dichiarato di fine agosto. Lo stato reale a oggi:</w:t>
      </w:r>
    </w:p>
    <w:tbl>
      <w:tblPr>
        <w:tblW w:type="dxa" w:w="11000"/>
        <w:tblBorders>
          <w:top w:val="single" w:color="D6DAE2" w:sz="4"/>
          <w:left w:val="single" w:color="D6DAE2" w:sz="4"/>
          <w:bottom w:val="single" w:color="D6DAE2" w:sz="4"/>
          <w:right w:val="single" w:color="D6DAE2" w:sz="4"/>
          <w:insideH w:val="single" w:color="D6DAE2" w:sz="2"/>
          <w:insideV w:val="single" w:color="D6DAE2" w:sz="2"/>
        </w:tblBorders>
      </w:tblPr>
      <w:tblGrid>
        <w:gridCol w:w="900"/>
        <w:gridCol w:w="1700"/>
        <w:gridCol w:w="4200"/>
        <w:gridCol w:w="4200"/>
      </w:tblGrid>
      <w:tr>
        <w:trPr>
          <w:tblHeader/>
        </w:trPr>
        <w:tc>
          <w:tcPr>
            <w:tcW w:type="dxa" w:w="9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VOCE</w:t>
            </w:r>
          </w:p>
        </w:tc>
        <w:tc>
          <w:tcPr>
            <w:tcW w:type="dxa" w:w="17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FILONE</w:t>
            </w:r>
          </w:p>
        </w:tc>
        <w:tc>
          <w:tcPr>
            <w:tcW w:type="dxa" w:w="42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STATO DICHIARATO NEL PIANO</w:t>
            </w:r>
          </w:p>
        </w:tc>
        <w:tc>
          <w:tcPr>
            <w:tcW w:type="dxa" w:w="42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STATO VERIFICATO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A1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A — Delivery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Triage issue #3/#5/#6/#7/#8/#12/#18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b/>
                <w:bCs/>
                <w:color w:val="2F7D5A"/>
                <w:sz w:val="19"/>
                <w:szCs w:val="19"/>
              </w:rPr>
              <w:t xml:space="preserve">●  quasi completo</w:t>
            </w:r>
            <w:r>
              <w:rPr>
                <w:rFonts w:ascii="IBM Plex Sans" w:cs="IBM Plex Sans" w:eastAsia="IBM Plex Sans" w:hAnsi="IBM Plex Sans"/>
                <w:color w:val="5B6472"/>
                <w:sz w:val="18"/>
                <w:szCs w:val="18"/>
              </w:rPr>
              <w:t xml:space="preserve">  #3, #6, #12 chiuse; #18 ancora aperta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A2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A — Delivery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PoC Final Report consolidato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b/>
                <w:bCs/>
                <w:color w:val="2F7D5A"/>
                <w:sz w:val="19"/>
                <w:szCs w:val="19"/>
              </w:rPr>
              <w:t xml:space="preserve">●  fatto</w:t>
            </w:r>
            <w:r>
              <w:rPr>
                <w:rFonts w:ascii="IBM Plex Sans" w:cs="IBM Plex Sans" w:eastAsia="IBM Plex Sans" w:hAnsi="IBM Plex Sans"/>
                <w:color w:val="5B6472"/>
                <w:sz w:val="18"/>
                <w:szCs w:val="18"/>
              </w:rPr>
              <w:t xml:space="preserve">  pubblicato 13 ago, unica fonte per i numeri del paper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A3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A — Delivery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Script repro end-to-end, ambiente di riferimento fissato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b/>
                <w:bCs/>
                <w:color w:val="A6740F"/>
                <w:sz w:val="19"/>
                <w:szCs w:val="19"/>
              </w:rPr>
              <w:t xml:space="preserve">●  non confermato</w:t>
            </w:r>
            <w:r>
              <w:rPr>
                <w:rFonts w:ascii="IBM Plex Sans" w:cs="IBM Plex Sans" w:eastAsia="IBM Plex Sans" w:hAnsi="IBM Plex Sans"/>
                <w:color w:val="5B6472"/>
                <w:sz w:val="18"/>
                <w:szCs w:val="18"/>
              </w:rPr>
              <w:t xml:space="preserve">  nessuna evidenza che sia stato completato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A4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A — Delivery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Tag release (v0.5.0 o v1.0.0-poc, da decidere)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b/>
                <w:bCs/>
                <w:color w:val="B23B3B"/>
                <w:sz w:val="19"/>
                <w:szCs w:val="19"/>
              </w:rPr>
              <w:t xml:space="preserve">●  non fatto</w:t>
            </w:r>
            <w:r>
              <w:rPr>
                <w:rFonts w:ascii="IBM Plex Sans" w:cs="IBM Plex Sans" w:eastAsia="IBM Plex Sans" w:hAnsi="IBM Plex Sans"/>
                <w:color w:val="5B6472"/>
                <w:sz w:val="18"/>
                <w:szCs w:val="18"/>
              </w:rPr>
              <w:t xml:space="preserve">  banner README ancora su Tekniska v0.5.0-dev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A5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A — Delivery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Gate di uscita (4 condizioni congiunte)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b/>
                <w:bCs/>
                <w:color w:val="B23B3B"/>
                <w:sz w:val="19"/>
                <w:szCs w:val="19"/>
              </w:rPr>
              <w:t xml:space="preserve">●  non raggiungibile</w:t>
            </w:r>
            <w:r>
              <w:rPr>
                <w:rFonts w:ascii="IBM Plex Sans" w:cs="IBM Plex Sans" w:eastAsia="IBM Plex Sans" w:hAnsi="IBM Plex Sans"/>
                <w:color w:val="5B6472"/>
                <w:sz w:val="18"/>
                <w:szCs w:val="18"/>
              </w:rPr>
              <w:t xml:space="preserve">  dipende da A3/A4, entrambe aperte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B0–B2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B — Paper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Venue, outline, materiale da riusare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b/>
                <w:bCs/>
                <w:color w:val="2F7D5A"/>
                <w:sz w:val="19"/>
                <w:szCs w:val="19"/>
              </w:rPr>
              <w:t xml:space="preserve">●  fatto</w:t>
            </w:r>
            <w:r>
              <w:rPr>
                <w:rFonts w:ascii="IBM Plex Sans" w:cs="IBM Plex Sans" w:eastAsia="IBM Plex Sans" w:hAnsi="IBM Plex Sans"/>
                <w:color w:val="5B6472"/>
                <w:sz w:val="18"/>
                <w:szCs w:val="18"/>
              </w:rPr>
              <w:t xml:space="preserve">  deciso 12 ago: arXiv, stile ACM sigconf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B3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B — Paper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Related-work survey — “la voce a rischio più alto”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b/>
                <w:bCs/>
                <w:color w:val="B23B3B"/>
                <w:sz w:val="19"/>
                <w:szCs w:val="19"/>
              </w:rPr>
              <w:t xml:space="preserve">●  fermo dal 13 ago</w:t>
            </w:r>
            <w:r>
              <w:rPr>
                <w:rFonts w:ascii="IBM Plex Sans" w:cs="IBM Plex Sans" w:eastAsia="IBM Plex Sans" w:hAnsi="IBM Plex Sans"/>
                <w:color w:val="5B6472"/>
                <w:sz w:val="18"/>
                <w:szCs w:val="18"/>
              </w:rPr>
              <w:t xml:space="preserve">  bibliografia non verificata alla fonte; FineMoE non ancora letto integralmente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B4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B — Paper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Infrastruttura LaTeX (osx-poc/paper/, sigconf, .bib)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b/>
                <w:bCs/>
                <w:color w:val="B23B3B"/>
                <w:sz w:val="19"/>
                <w:szCs w:val="19"/>
              </w:rPr>
              <w:t xml:space="preserve">●  non iniziato</w:t>
            </w:r>
            <w:r>
              <w:rPr>
                <w:rFonts w:ascii="IBM Plex Sans" w:cs="IBM Plex Sans" w:eastAsia="IBM Plex Sans" w:hAnsi="IBM Plex Sans"/>
                <w:color w:val="5B6472"/>
                <w:sz w:val="18"/>
                <w:szCs w:val="18"/>
              </w:rPr>
              <w:t xml:space="preserve">  directory inesistente, zero file .tex nel repo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B5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B — Paper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Revisione interna del draft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b/>
                <w:bCs/>
                <w:color w:val="B23B3B"/>
                <w:sz w:val="19"/>
                <w:szCs w:val="19"/>
              </w:rPr>
              <w:t xml:space="preserve">●  non iniziabile</w:t>
            </w:r>
            <w:r>
              <w:rPr>
                <w:rFonts w:ascii="IBM Plex Sans" w:cs="IBM Plex Sans" w:eastAsia="IBM Plex Sans" w:hAnsi="IBM Plex Sans"/>
                <w:color w:val="5B6472"/>
                <w:sz w:val="18"/>
                <w:szCs w:val="18"/>
              </w:rPr>
              <w:t xml:space="preserve">  nessun draft esiste</w:t>
            </w:r>
          </w:p>
        </w:tc>
      </w:tr>
    </w:tbl>
    <w:p>
      <w:pPr>
        <w:spacing w:after="160" w:before="140"/>
      </w:pP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Timeline Sprint 5 (Berg): Settimana 1 (12–18 ago) — A1 + avvio B3. Settimana 2 (19–25 ago) — A2 + grafici B3 + assemblaggio draft. Settimana 3 (26–31 ago) — A3–A5 + B5 + submission arXiv. </w:t>
      </w:r>
      <w:r>
        <w:rPr>
          <w:rFonts w:ascii="IBM Plex Sans" w:cs="IBM Plex Sans" w:eastAsia="IBM Plex Sans" w:hAnsi="IBM Plex Sans"/>
          <w:b/>
          <w:bCs/>
          <w:color w:val="1A1E27"/>
          <w:sz w:val="21"/>
          <w:szCs w:val="21"/>
        </w:rPr>
        <w:t xml:space="preserve">Oggi (25 ago) cade all'ultimo giorno della Settimana 2</w:t>
      </w: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 — la settimana in cui il piano prevedeva “assemblaggio draft completo”. Nessun draft, outline a parte, risulta esistere.</w:t>
      </w:r>
    </w:p>
    <w:p>
      <w:pPr>
        <w:spacing w:after="20" w:before="200"/>
      </w:pPr>
      <w:r>
        <w:rPr>
          <w:rFonts w:ascii="IBM Plex Mono" w:cs="IBM Plex Mono" w:eastAsia="IBM Plex Mono" w:hAnsi="IBM Plex Mono"/>
          <w:b/>
          <w:bCs/>
          <w:color w:val="A85A28"/>
          <w:spacing w:val="20"/>
          <w:sz w:val="17"/>
          <w:szCs w:val="17"/>
        </w:rPr>
        <w:t xml:space="preserve">03 — TARGET NON FUNZIONALI</w:t>
      </w:r>
    </w:p>
    <w:p>
      <w:pPr>
        <w:pStyle w:val="Heading1"/>
        <w:pBdr>
          <w:bottom w:val="single" w:color="A85A28" w:sz="6" w:space="6"/>
        </w:pBdr>
        <w:spacing w:after="160" w:before="420"/>
      </w:pPr>
      <w:r>
        <w:rPr>
          <w:rFonts w:ascii="IBM Plex Sans" w:cs="IBM Plex Sans" w:eastAsia="IBM Plex Sans" w:hAnsi="IBM Plex Sans"/>
          <w:b/>
          <w:bCs/>
          <w:color w:val="1A1E27"/>
          <w:sz w:val="30"/>
          <w:szCs w:val="30"/>
        </w:rPr>
        <w:t xml:space="preserve">Tre solidi, uno con evidenza debole</w:t>
      </w:r>
    </w:p>
    <w:p>
      <w:pPr>
        <w:spacing w:after="160" w:line="320"/>
      </w:pP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I quattro criteri di accettazione del PoC, dal poc_final_report.md consolidato del 13 agosto — la base fattuale unica da cui il paper dovrebbe attingere:</w:t>
      </w:r>
    </w:p>
    <w:tbl>
      <w:tblPr>
        <w:tblW w:type="dxa" w:w="10000"/>
        <w:tblBorders>
          <w:top w:val="single" w:color="D6DAE2" w:sz="4"/>
          <w:left w:val="single" w:color="D6DAE2" w:sz="4"/>
          <w:bottom w:val="single" w:color="D6DAE2" w:sz="4"/>
          <w:right w:val="single" w:color="D6DAE2" w:sz="4"/>
          <w:insideH w:val="single" w:color="D6DAE2" w:sz="2"/>
          <w:insideV w:val="single" w:color="D6DAE2" w:sz="2"/>
        </w:tblBorders>
      </w:tblPr>
      <w:tblGrid>
        <w:gridCol w:w="2600"/>
        <w:gridCol w:w="2700"/>
        <w:gridCol w:w="1700"/>
        <w:gridCol w:w="3000"/>
      </w:tblGrid>
      <w:tr>
        <w:trPr>
          <w:tblHeader/>
        </w:trPr>
        <w:tc>
          <w:tcPr>
            <w:tcW w:type="dxa" w:w="26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TARGET</w:t>
            </w:r>
          </w:p>
        </w:tc>
        <w:tc>
          <w:tcPr>
            <w:tcW w:type="dxa" w:w="27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RISULTATO</w:t>
            </w:r>
          </w:p>
        </w:tc>
        <w:tc>
          <w:tcPr>
            <w:tcW w:type="dxa" w:w="17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STATO</w:t>
            </w:r>
          </w:p>
        </w:tc>
        <w:tc>
          <w:tcPr>
            <w:tcW w:type="dxa" w:w="30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MARGINE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PT-PEP latency &lt; 3 ms p99 (CPU)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Unico numero mai registrato: un fallimento isolato a 3.71 ms, mai ri-misurato pulito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b/>
                <w:bCs/>
                <w:color w:val="A6740F"/>
                <w:sz w:val="19"/>
                <w:szCs w:val="19"/>
              </w:rPr>
              <w:t xml:space="preserve">●  evidenza debole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Nessun margine documentato — solo un test pass/fail, non un numero misurato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PT-PEP hit rate &gt; 70%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87.2% su held-out (+17.2pp)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b/>
                <w:bCs/>
                <w:color w:val="2F7D5A"/>
                <w:sz w:val="19"/>
                <w:szCs w:val="19"/>
              </w:rPr>
              <w:t xml:space="preserve">●  soddisfatto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Riserva: set held-out same-distribution, non OOD; classificatore TF-IDF+centroid, non il BERT-small pianificato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GCSG degradation &lt; 2% (MMLU-5shot)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−0.19pp / +0.7pp su 5 run indipendenti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b/>
                <w:bCs/>
                <w:color w:val="2F7D5A"/>
                <w:sz w:val="19"/>
                <w:szCs w:val="19"/>
              </w:rPr>
              <w:t xml:space="preserve">●  soddisfatto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Corroborazione forte: piattaforma, hardware, quantizzazione, data-path tutti diversi, entro 0.7pp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Promotion latency entro 1.5× bandwidth teorica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pin=True P50 194–208µs vs. soglia 732µs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b/>
                <w:bCs/>
                <w:color w:val="2F7D5A"/>
                <w:sz w:val="19"/>
                <w:szCs w:val="19"/>
              </w:rPr>
              <w:t xml:space="preserve">●  soddisfatto a P50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~3.5× margine a P50; P95/P99 mancano il target, ma n=20 è campione troppo piccolo</w:t>
            </w:r>
          </w:p>
        </w:tc>
      </w:tr>
    </w:tbl>
    <w:p>
      <w:pPr>
        <w:spacing w:after="20" w:before="200"/>
      </w:pPr>
      <w:r>
        <w:rPr>
          <w:rFonts w:ascii="IBM Plex Mono" w:cs="IBM Plex Mono" w:eastAsia="IBM Plex Mono" w:hAnsi="IBM Plex Mono"/>
          <w:b/>
          <w:bCs/>
          <w:color w:val="A85A28"/>
          <w:spacing w:val="20"/>
          <w:sz w:val="17"/>
          <w:szCs w:val="17"/>
        </w:rPr>
        <w:t xml:space="preserve">04 — RISCHIO PRINCIPALE</w:t>
      </w:r>
    </w:p>
    <w:p>
      <w:pPr>
        <w:pStyle w:val="Heading1"/>
        <w:pBdr>
          <w:bottom w:val="single" w:color="A85A28" w:sz="6" w:space="6"/>
        </w:pBdr>
        <w:spacing w:after="160" w:before="420"/>
      </w:pPr>
      <w:r>
        <w:rPr>
          <w:rFonts w:ascii="IBM Plex Sans" w:cs="IBM Plex Sans" w:eastAsia="IBM Plex Sans" w:hAnsi="IBM Plex Sans"/>
          <w:b/>
          <w:bCs/>
          <w:color w:val="1A1E27"/>
          <w:sz w:val="30"/>
          <w:szCs w:val="30"/>
        </w:rPr>
        <w:t xml:space="preserve">Il backlog è cresciuto esattamente dove il piano chiedeva di fermarsi</w:t>
      </w:r>
    </w:p>
    <w:p>
      <w:pPr>
        <w:pBdr>
          <w:top w:val="single" w:color="F8E1E1" w:sz="2" w:space="8"/>
          <w:bottom w:val="single" w:color="F8E1E1" w:sz="2" w:space="8"/>
          <w:left w:val="single" w:color="B23B3B" w:sz="24" w:space="8"/>
        </w:pBdr>
        <w:shd w:fill="F8E1E1" w:color="auto" w:val="clear"/>
        <w:spacing w:after="200" w:before="160" w:line="310"/>
      </w:pPr>
      <w:r>
        <w:rPr>
          <w:rFonts w:ascii="IBM Plex Sans" w:cs="IBM Plex Sans" w:eastAsia="IBM Plex Sans" w:hAnsi="IBM Plex Sans"/>
          <w:b/>
          <w:bCs/>
          <w:color w:val="B23B3B"/>
          <w:sz w:val="19"/>
          <w:szCs w:val="19"/>
        </w:rPr>
        <w:t xml:space="preserve">Il finding centrale di questa review
</w:t>
      </w: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Delle 26 issue oggi aperte, </w:t>
      </w:r>
      <w:r>
        <w:rPr>
          <w:rFonts w:ascii="IBM Plex Sans" w:cs="IBM Plex Sans" w:eastAsia="IBM Plex Sans" w:hAnsi="IBM Plex Sans"/>
          <w:b/>
          <w:bCs/>
          <w:color w:val="1A1E27"/>
          <w:sz w:val="21"/>
          <w:szCs w:val="21"/>
        </w:rPr>
        <w:t xml:space="preserve">16 sono state create tra il 16 e il 24 agosto</w:t>
      </w: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 — cioè dentro la finestra che sprint5_berg_plan.md assegnava esplicitamente ad A1 (chiusura triage) e all'avvio di B3 (related-work), non a nuovi filoni di ricerca. Nessuna di queste 16 issue appartiene al Filone B. Nello stesso periodo, il Filone B non ha prodotto alcun artefatto verificabile oltre l'outline: logbook_paper.md è fermo alla bibliografia “prima raccolta” del 13 agosto, esplicitamente marcata come non verificata alla fonte, e osx-poc/paper/ non esiste sul filesystem.</w:t>
      </w:r>
    </w:p>
    <w:p>
      <w:pPr>
        <w:spacing w:after="160" w:line="320"/>
      </w:pP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Il tempo è confluito in tre filoni reali ma non pianificati per questa finestra: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IBM Plex Sans" w:cs="IBM Plex Sans" w:eastAsia="IBM Plex Sans" w:hAnsi="IBM Plex Sans"/>
          <w:b/>
          <w:bCs/>
          <w:color w:val="1A1E27"/>
          <w:sz w:val="21"/>
          <w:szCs w:val="21"/>
        </w:rPr>
        <w:t xml:space="preserve">Migrazione bare-metal della Z8 G4 </w:t>
      </w: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(avviata 24 ago, LOGBOOK_NEW_Z8.md) — dal Docker-on-Windows/WSL2 di riferimento a Ubuntu 24.04 bare-metal, per sbloccare io_uring, NUMA reale e PMEM. Lavoro legittimo e di valore, ma assente dal piano Sprint 5.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IBM Plex Sans" w:cs="IBM Plex Sans" w:eastAsia="IBM Plex Sans" w:hAnsi="IBM Plex Sans"/>
          <w:b/>
          <w:bCs/>
          <w:color w:val="1A1E27"/>
          <w:sz w:val="21"/>
          <w:szCs w:val="21"/>
        </w:rPr>
        <w:t xml:space="preserve">Approfondimento prestazionale del tier DDR4/CPU-offload </w:t>
      </w: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(issue #33, ~22 sessioni secondo il README, con follow-on #43–#49) — il filone più costoso del periodo, culminato in confronti su hardware futuro non disponibile (#53 Vera Rubin, #55 SambaNova SN40L), entrambi marcati dagli stessi issue come “non azionabili ora”.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IBM Plex Sans" w:cs="IBM Plex Sans" w:eastAsia="IBM Plex Sans" w:hAnsi="IBM Plex Sans"/>
          <w:b/>
          <w:bCs/>
          <w:color w:val="1A1E27"/>
          <w:sz w:val="21"/>
          <w:szCs w:val="21"/>
        </w:rPr>
        <w:t xml:space="preserve">Marstrand </w:t>
      </w: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(#32 e sotto-issue #34–#37) — analisi competitiva verificata sul codice di Petals/ExLlamaV2/V3/tabbyAPI, utile ma dichiarata fin dall'inizio come filone parallelo, non parte della delivery Sprint 5.</w:t>
      </w:r>
    </w:p>
    <w:p>
      <w:pPr>
        <w:spacing w:after="160" w:line="320"/>
      </w:pP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Nessuno di questi tre filoni è, di per sé, lavoro sbagliato — la migrazione bare-metal in particolare sblocca direttamente #7 (PMEM) e #28, entrambi bloccati da hardware da inizio progetto. Il problema è che nessuno di essi è stato scelto </w:t>
      </w:r>
    </w:p>
    <w:p>
      <w:pPr>
        <w:spacing w:after="160" w:line="320"/>
      </w:pPr>
      <w:r>
        <w:rPr>
          <w:rFonts w:ascii="IBM Plex Sans" w:cs="IBM Plex Sans" w:eastAsia="IBM Plex Sans" w:hAnsi="IBM Plex Sans"/>
          <w:i/>
          <w:iCs/>
          <w:color w:val="1A1E27"/>
          <w:sz w:val="21"/>
          <w:szCs w:val="21"/>
        </w:rPr>
        <w:t xml:space="preserve">al posto di</w:t>
      </w: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 B3–B5 tramite una decisione esplicita: è successo per accumulo, nella stessa settimana in cui il piano prevedeva l'assemblaggio del draft. Questo è precisamente il tipo di deriva silenziosa che il progetto stesso, nella regola di igiene dei §0 del piano Sprint 5, dice di voler evitare — lì applicata al tracker issue, qui applicabile al piano stesso.</w:t>
      </w:r>
    </w:p>
    <w:p>
      <w:pPr>
        <w:spacing w:after="20" w:before="200"/>
      </w:pPr>
      <w:r>
        <w:rPr>
          <w:rFonts w:ascii="IBM Plex Mono" w:cs="IBM Plex Mono" w:eastAsia="IBM Plex Mono" w:hAnsi="IBM Plex Mono"/>
          <w:b/>
          <w:bCs/>
          <w:color w:val="A85A28"/>
          <w:spacing w:val="20"/>
          <w:sz w:val="17"/>
          <w:szCs w:val="17"/>
        </w:rPr>
        <w:t xml:space="preserve">05 — TRIAGE BACKLOG</w:t>
      </w:r>
    </w:p>
    <w:p>
      <w:pPr>
        <w:pStyle w:val="Heading1"/>
        <w:pBdr>
          <w:bottom w:val="single" w:color="A85A28" w:sz="6" w:space="6"/>
        </w:pBdr>
        <w:spacing w:after="160" w:before="420"/>
      </w:pPr>
      <w:r>
        <w:rPr>
          <w:rFonts w:ascii="IBM Plex Sans" w:cs="IBM Plex Sans" w:eastAsia="IBM Plex Sans" w:hAnsi="IBM Plex Sans"/>
          <w:b/>
          <w:bCs/>
          <w:color w:val="1A1E27"/>
          <w:sz w:val="30"/>
          <w:szCs w:val="30"/>
        </w:rPr>
        <w:t xml:space="preserve">26 issue aperte, cinque profili molto diversi</w:t>
      </w:r>
    </w:p>
    <w:p>
      <w:pPr>
        <w:spacing w:after="160" w:line="320"/>
      </w:pP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Raggruppate per il tipo di decisione che richiedono, non per numero — replica per il piano nel suo complesso lo stesso esercizio che A1 ha già fatto per il sottoinsieme di 7 issue a inizio Sprint 5.</w:t>
      </w:r>
    </w:p>
    <w:p>
      <w:pPr>
        <w:spacing w:after="80" w:before="220"/>
      </w:pPr>
      <w:r>
        <w:rPr>
          <w:rFonts w:ascii="IBM Plex Sans" w:cs="IBM Plex Sans" w:eastAsia="IBM Plex Sans" w:hAnsi="IBM Plex Sans"/>
          <w:b/>
          <w:bCs/>
          <w:color w:val="1A1E27"/>
          <w:sz w:val="23"/>
          <w:szCs w:val="23"/>
        </w:rPr>
        <w:t xml:space="preserve">Blocca la delivery — da chiudere prima del tag di release</w:t>
      </w:r>
    </w:p>
    <w:tbl>
      <w:tblPr>
        <w:tblW w:type="dxa" w:w="9000"/>
        <w:tblBorders>
          <w:top w:val="single" w:color="D6DAE2" w:sz="4"/>
          <w:left w:val="single" w:color="D6DAE2" w:sz="4"/>
          <w:bottom w:val="single" w:color="D6DAE2" w:sz="4"/>
          <w:right w:val="single" w:color="D6DAE2" w:sz="4"/>
          <w:insideH w:val="single" w:color="D6DAE2" w:sz="2"/>
          <w:insideV w:val="single" w:color="D6DAE2" w:sz="2"/>
        </w:tblBorders>
      </w:tblPr>
      <w:tblGrid>
        <w:gridCol w:w="900"/>
        <w:gridCol w:w="3600"/>
        <w:gridCol w:w="4500"/>
      </w:tblGrid>
      <w:tr>
        <w:trPr>
          <w:tblHeader/>
        </w:trPr>
        <w:tc>
          <w:tcPr>
            <w:tcW w:type="dxa" w:w="9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TITOLO</w:t>
            </w:r>
          </w:p>
        </w:tc>
        <w:tc>
          <w:tcPr>
            <w:tcW w:type="dxa" w:w="45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PERCHÉ BLOCCA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#18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Environment fingerprint pre-check mancante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5B6472"/>
                <w:sz w:val="19"/>
                <w:szCs w:val="19"/>
              </w:rPr>
              <w:t xml:space="preserve">Già mordente su RunPod; doppiamente rilevante con la migrazione alla nuova Z8 bare-metal in corso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#41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Runner self-hosted: disco all'83%, 81 GB liberi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5B6472"/>
                <w:sz w:val="19"/>
                <w:szCs w:val="19"/>
              </w:rPr>
              <w:t xml:space="preserve">Rischio reale per full-gpu-tests; stato non chiarito rispetto alla migrazione bare-metal</w:t>
            </w:r>
          </w:p>
        </w:tc>
      </w:tr>
    </w:tbl>
    <w:p>
      <w:pPr>
        <w:spacing w:after="80" w:before="220"/>
      </w:pPr>
      <w:r>
        <w:rPr>
          <w:rFonts w:ascii="IBM Plex Sans" w:cs="IBM Plex Sans" w:eastAsia="IBM Plex Sans" w:hAnsi="IBM Plex Sans"/>
          <w:b/>
          <w:bCs/>
          <w:color w:val="1A1E27"/>
          <w:sz w:val="23"/>
          <w:szCs w:val="23"/>
        </w:rPr>
        <w:t xml:space="preserve">Bloccato da hardware — legittimamente in attesa</w:t>
      </w:r>
    </w:p>
    <w:tbl>
      <w:tblPr>
        <w:tblW w:type="dxa" w:w="9000"/>
        <w:tblBorders>
          <w:top w:val="single" w:color="D6DAE2" w:sz="4"/>
          <w:left w:val="single" w:color="D6DAE2" w:sz="4"/>
          <w:bottom w:val="single" w:color="D6DAE2" w:sz="4"/>
          <w:right w:val="single" w:color="D6DAE2" w:sz="4"/>
          <w:insideH w:val="single" w:color="D6DAE2" w:sz="2"/>
          <w:insideV w:val="single" w:color="D6DAE2" w:sz="2"/>
        </w:tblBorders>
      </w:tblPr>
      <w:tblGrid>
        <w:gridCol w:w="900"/>
        <w:gridCol w:w="3600"/>
        <w:gridCol w:w="4500"/>
      </w:tblGrid>
      <w:tr>
        <w:trPr>
          <w:tblHeader/>
        </w:trPr>
        <w:tc>
          <w:tcPr>
            <w:tcW w:type="dxa" w:w="9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TITOLO</w:t>
            </w:r>
          </w:p>
        </w:tc>
        <w:tc>
          <w:tcPr>
            <w:tcW w:type="dxa" w:w="45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NOTA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#8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Dual-GPU / AER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5B6472"/>
                <w:sz w:val="19"/>
                <w:szCs w:val="19"/>
              </w:rPr>
              <w:t xml:space="preserve">In attesa dell'arrivo della RTX 5080 — nessuna azione possibile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#5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Nessuna pipeline CUDA stream in GPUTransfer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5B6472"/>
                <w:sz w:val="19"/>
                <w:szCs w:val="19"/>
              </w:rPr>
              <w:t xml:space="preserve">Deferred dallo Sprint 0, serve compute reale con cui sovrapporsi</w:t>
            </w:r>
          </w:p>
        </w:tc>
      </w:tr>
    </w:tbl>
    <w:p>
      <w:pPr>
        <w:spacing w:after="80" w:before="220"/>
      </w:pPr>
      <w:r>
        <w:rPr>
          <w:rFonts w:ascii="IBM Plex Sans" w:cs="IBM Plex Sans" w:eastAsia="IBM Plex Sans" w:hAnsi="IBM Plex Sans"/>
          <w:b/>
          <w:bCs/>
          <w:color w:val="1A1E27"/>
          <w:sz w:val="23"/>
          <w:szCs w:val="23"/>
        </w:rPr>
        <w:t xml:space="preserve">Esplorativo, non azionabile — ricerca dichiarata tale dagli stessi issue</w:t>
      </w:r>
    </w:p>
    <w:tbl>
      <w:tblPr>
        <w:tblW w:type="dxa" w:w="9000"/>
        <w:tblBorders>
          <w:top w:val="single" w:color="D6DAE2" w:sz="4"/>
          <w:left w:val="single" w:color="D6DAE2" w:sz="4"/>
          <w:bottom w:val="single" w:color="D6DAE2" w:sz="4"/>
          <w:right w:val="single" w:color="D6DAE2" w:sz="4"/>
          <w:insideH w:val="single" w:color="D6DAE2" w:sz="2"/>
          <w:insideV w:val="single" w:color="D6DAE2" w:sz="2"/>
        </w:tblBorders>
      </w:tblPr>
      <w:tblGrid>
        <w:gridCol w:w="900"/>
        <w:gridCol w:w="3600"/>
        <w:gridCol w:w="4500"/>
      </w:tblGrid>
      <w:tr>
        <w:trPr>
          <w:tblHeader/>
        </w:trPr>
        <w:tc>
          <w:tcPr>
            <w:tcW w:type="dxa" w:w="9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TITOLO</w:t>
            </w:r>
          </w:p>
        </w:tc>
        <w:tc>
          <w:tcPr>
            <w:tcW w:type="dxa" w:w="45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NOTA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#53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Vera Rubin (NVLink-C2C) invalida l'estrapolazione del gap CPU/GPU?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5B6472"/>
                <w:sz w:val="19"/>
                <w:szCs w:val="19"/>
              </w:rPr>
              <w:t xml:space="preserve">Specifiche roadmap NVIDIA, non hardware misurato — dichiarata “non azionabile ora”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#55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SambaNova SN40L — confronto architetturale con EMH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5B6472"/>
                <w:sz w:val="19"/>
                <w:szCs w:val="19"/>
              </w:rPr>
              <w:t xml:space="preserve">Nessun hardware disponibile per validazione diretta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#44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Architettura CPU-first (DDR4-resident) ispirata a MoE-Infinity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5B6472"/>
                <w:sz w:val="19"/>
                <w:szCs w:val="19"/>
              </w:rPr>
              <w:t xml:space="preserve">Valutazione architetturale — rischia di aprire un quarto filone sopra #33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#37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Monitor periodico upstream Petals/ExLlama/tabbyAPI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5B6472"/>
                <w:sz w:val="19"/>
                <w:szCs w:val="19"/>
              </w:rPr>
              <w:t xml:space="preserve">Per costruzione è un impegno ricorrente, non un item da chiudere</w:t>
            </w:r>
          </w:p>
        </w:tc>
      </w:tr>
    </w:tbl>
    <w:p>
      <w:pPr>
        <w:spacing w:after="80" w:before="220"/>
      </w:pPr>
      <w:r>
        <w:rPr>
          <w:rFonts w:ascii="IBM Plex Sans" w:cs="IBM Plex Sans" w:eastAsia="IBM Plex Sans" w:hAnsi="IBM Plex Sans"/>
          <w:b/>
          <w:bCs/>
          <w:color w:val="1A1E27"/>
          <w:sz w:val="23"/>
          <w:szCs w:val="23"/>
        </w:rPr>
        <w:t xml:space="preserve">Design da decidere — richiede una decisione esplicita, non un fix meccanico</w:t>
      </w:r>
    </w:p>
    <w:tbl>
      <w:tblPr>
        <w:tblW w:type="dxa" w:w="9000"/>
        <w:tblBorders>
          <w:top w:val="single" w:color="D6DAE2" w:sz="4"/>
          <w:left w:val="single" w:color="D6DAE2" w:sz="4"/>
          <w:bottom w:val="single" w:color="D6DAE2" w:sz="4"/>
          <w:right w:val="single" w:color="D6DAE2" w:sz="4"/>
          <w:insideH w:val="single" w:color="D6DAE2" w:sz="2"/>
          <w:insideV w:val="single" w:color="D6DAE2" w:sz="2"/>
        </w:tblBorders>
      </w:tblPr>
      <w:tblGrid>
        <w:gridCol w:w="900"/>
        <w:gridCol w:w="3600"/>
        <w:gridCol w:w="4500"/>
      </w:tblGrid>
      <w:tr>
        <w:trPr>
          <w:tblHeader/>
        </w:trPr>
        <w:tc>
          <w:tcPr>
            <w:tcW w:type="dxa" w:w="9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TITOLO</w:t>
            </w:r>
          </w:p>
        </w:tc>
        <w:tc>
          <w:tcPr>
            <w:tcW w:type="dxa" w:w="45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NOTA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#57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Wire PMEM nel path GCSG/EAT reale (follow-up a #7)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5B6472"/>
                <w:sz w:val="19"/>
                <w:szCs w:val="19"/>
              </w:rPr>
              <w:t xml:space="preserve">Infrastruttura valida e testata, ma promote_live_tensor()/evict_to_free_vram() non la vedono ancora — serve una policy multi-tier, non solo un parametro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#49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perf_test_hardware.py cieco a NUMA/affinity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5B6472"/>
                <w:sz w:val="19"/>
                <w:szCs w:val="19"/>
              </w:rPr>
              <w:t xml:space="preserve">Segnale reale (~8% su Z8) ma tre decisioni di design aperte prima di poter chiudere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#27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EPM — persistere la hotness EAT tra riavvii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5B6472"/>
                <w:sz w:val="19"/>
                <w:szCs w:val="19"/>
              </w:rPr>
              <w:t xml:space="preserve">Root cause del gap “mixed” mai osservato in #33 — architetturale, non un bug puntuale</w:t>
            </w:r>
          </w:p>
        </w:tc>
      </w:tr>
    </w:tbl>
    <w:p>
      <w:pPr>
        <w:spacing w:after="80" w:before="220"/>
      </w:pPr>
      <w:r>
        <w:rPr>
          <w:rFonts w:ascii="IBM Plex Sans" w:cs="IBM Plex Sans" w:eastAsia="IBM Plex Sans" w:hAnsi="IBM Plex Sans"/>
          <w:b/>
          <w:bCs/>
          <w:color w:val="1A1E27"/>
          <w:sz w:val="23"/>
          <w:szCs w:val="23"/>
        </w:rPr>
        <w:t xml:space="preserve">Tracking Sprint 6 — fuori scope Sprint 5 per esplicita dichiarazione del piano</w:t>
      </w:r>
    </w:p>
    <w:tbl>
      <w:tblPr>
        <w:tblW w:type="dxa" w:w="9000"/>
        <w:tblBorders>
          <w:top w:val="single" w:color="D6DAE2" w:sz="4"/>
          <w:left w:val="single" w:color="D6DAE2" w:sz="4"/>
          <w:bottom w:val="single" w:color="D6DAE2" w:sz="4"/>
          <w:right w:val="single" w:color="D6DAE2" w:sz="4"/>
          <w:insideH w:val="single" w:color="D6DAE2" w:sz="2"/>
          <w:insideV w:val="single" w:color="D6DAE2" w:sz="2"/>
        </w:tblBorders>
      </w:tblPr>
      <w:tblGrid>
        <w:gridCol w:w="900"/>
        <w:gridCol w:w="3600"/>
        <w:gridCol w:w="4500"/>
      </w:tblGrid>
      <w:tr>
        <w:trPr>
          <w:tblHeader/>
        </w:trPr>
        <w:tc>
          <w:tcPr>
            <w:tcW w:type="dxa" w:w="9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TITOLO</w:t>
            </w:r>
          </w:p>
        </w:tc>
        <w:tc>
          <w:tcPr>
            <w:tcW w:type="dxa" w:w="4500"/>
            <w:shd w:fill="E3E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5B6472"/>
                <w:spacing w:val="10"/>
                <w:sz w:val="16"/>
                <w:szCs w:val="16"/>
              </w:rPr>
              <w:t xml:space="preserve">NOTA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#46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Performance tuning immagine Docker/RunPod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5B6472"/>
                <w:sz w:val="19"/>
                <w:szCs w:val="19"/>
              </w:rPr>
              <w:t xml:space="preserve">Stockholm, fase 1 — corretto tenerla separata da Berg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Mono" w:cs="IBM Plex Mono" w:eastAsia="IBM Plex Mono" w:hAnsi="IBM Plex Mono"/>
                <w:color w:val="5B6472"/>
                <w:sz w:val="19"/>
                <w:szCs w:val="19"/>
              </w:rPr>
              <w:t xml:space="preserve">#47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1A1E27"/>
                <w:sz w:val="19"/>
                <w:szCs w:val="19"/>
              </w:rPr>
              <w:t xml:space="preserve">Telemetria/dashboard osservabilità GCSG/EAT/Tier Manager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90"/>
            </w:pPr>
            <w:r>
              <w:rPr>
                <w:rFonts w:ascii="IBM Plex Sans" w:cs="IBM Plex Sans" w:eastAsia="IBM Plex Sans" w:hAnsi="IBM Plex Sans"/>
                <w:color w:val="5B6472"/>
                <w:sz w:val="19"/>
                <w:szCs w:val="19"/>
              </w:rPr>
              <w:t xml:space="preserve">Stockholm, fase 1 — idem</w:t>
            </w:r>
          </w:p>
        </w:tc>
      </w:tr>
    </w:tbl>
    <w:p>
      <w:pPr>
        <w:spacing w:after="20" w:before="200"/>
      </w:pPr>
      <w:r>
        <w:rPr>
          <w:rFonts w:ascii="IBM Plex Mono" w:cs="IBM Plex Mono" w:eastAsia="IBM Plex Mono" w:hAnsi="IBM Plex Mono"/>
          <w:b/>
          <w:bCs/>
          <w:color w:val="A85A28"/>
          <w:spacing w:val="20"/>
          <w:sz w:val="17"/>
          <w:szCs w:val="17"/>
        </w:rPr>
        <w:t xml:space="preserve">06 — MERGIATO VS. DICHIARATO</w:t>
      </w:r>
    </w:p>
    <w:p>
      <w:pPr>
        <w:pStyle w:val="Heading1"/>
        <w:pBdr>
          <w:bottom w:val="single" w:color="A85A28" w:sz="6" w:space="6"/>
        </w:pBdr>
        <w:spacing w:after="160" w:before="420"/>
      </w:pPr>
      <w:r>
        <w:rPr>
          <w:rFonts w:ascii="IBM Plex Sans" w:cs="IBM Plex Sans" w:eastAsia="IBM Plex Sans" w:hAnsi="IBM Plex Sans"/>
          <w:b/>
          <w:bCs/>
          <w:color w:val="1A1E27"/>
          <w:sz w:val="30"/>
          <w:szCs w:val="30"/>
        </w:rPr>
        <w:t xml:space="preserve">Il progetto ha già scritto la regola per questo, e vale la pena riapplicarla</w:t>
      </w:r>
    </w:p>
    <w:p>
      <w:pPr>
        <w:spacing w:after="160" w:line="320"/>
      </w:pP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Il 14 agosto un controllo indipendente ha scoperto che Sprint 3 e 4 erano documentati come “✅ complete” da giorni mentre il codice viveva solo su branch non mersati, e develop eseguiva ancora gli stub NotImplementedError di Sprint 0/1. La correzione ha prodotto una regola esplicita, ora in sprint5_berg_plan.md: </w:t>
      </w:r>
    </w:p>
    <w:p>
      <w:pPr>
        <w:spacing w:after="160" w:line="320"/>
      </w:pPr>
      <w:r>
        <w:rPr>
          <w:rFonts w:ascii="IBM Plex Sans" w:cs="IBM Plex Sans" w:eastAsia="IBM Plex Sans" w:hAnsi="IBM Plex Sans"/>
          <w:i/>
          <w:iCs/>
          <w:color w:val="1A1E27"/>
          <w:sz w:val="21"/>
          <w:szCs w:val="21"/>
        </w:rPr>
        <w:t xml:space="preserve">“nessun issue/sprint si considera chiuso finché il codice che lo risolve non è in develop, non solo su un branch.”</w:t>
      </w:r>
    </w:p>
    <w:p>
      <w:pPr>
        <w:spacing w:after="160" w:line="320"/>
      </w:pP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È una buona regola, applicata bene in quel momento.</w:t>
      </w:r>
    </w:p>
    <w:p>
      <w:pPr>
        <w:pBdr>
          <w:top w:val="single" w:color="F8E1E1" w:sz="2" w:space="8"/>
          <w:left w:val="single" w:color="B23B3B" w:sz="24" w:space="8"/>
        </w:pBdr>
        <w:shd w:fill="F8E1E1" w:color="auto" w:val="clear"/>
        <w:spacing w:after="60" w:before="160" w:line="310"/>
      </w:pPr>
      <w:r>
        <w:rPr>
          <w:rFonts w:ascii="IBM Plex Sans" w:cs="IBM Plex Sans" w:eastAsia="IBM Plex Sans" w:hAnsi="IBM Plex Sans"/>
          <w:b/>
          <w:bCs/>
          <w:color w:val="B23B3B"/>
          <w:sz w:val="19"/>
          <w:szCs w:val="19"/>
        </w:rPr>
        <w:t xml:space="preserve">Il sintomo opposto, verificato via API GitHub in questa stessa review
</w:t>
      </w: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Il README descrive issue #33 (tier DDR4 compute-offload, ~22 sessioni di lavoro) come “correctness closed, performance open”, e riporta la PR #42 verso develop come “open — not yet merged”. Verificato direttamente sull'API: PR #42 risulta </w:t>
      </w:r>
      <w:r>
        <w:rPr>
          <w:rFonts w:ascii="IBM Plex Sans" w:cs="IBM Plex Sans" w:eastAsia="IBM Plex Sans" w:hAnsi="IBM Plex Sans"/>
          <w:b/>
          <w:bCs/>
          <w:color w:val="1A1E27"/>
          <w:sz w:val="21"/>
          <w:szCs w:val="21"/>
        </w:rPr>
        <w:t xml:space="preserve">mersata il 24 agosto alle 19:59</w:t>
      </w: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 — insieme ad altre quattro PR mersate lo stesso giorno (#51 fix OOM di #48, #50 fix Makefile/chiude #12, #52 PMEM/chiude #7, #54 telemetria host). Nessuna delle cinque si riflette ancora nel testo pubblico sullo stesso commit di develop: il README elenca ancora Optane PMEM come “❌ deferred” e l'issue #12 come ancora aperta nella tabella “Known limitations” — entrambe chiuse su GitHub — mentre CHANGELOG.MD non ha alcuna voce per queste cinque PR: la sua sezione [Berg] più recente è ferma al 13 agosto.</w:t>
      </w:r>
    </w:p>
    <w:p>
      <w:pPr>
        <w:pBdr>
          <w:bottom w:val="single" w:color="F8E1E1" w:sz="2" w:space="8"/>
          <w:left w:val="single" w:color="B23B3B" w:sz="24" w:space="8"/>
        </w:pBdr>
        <w:shd w:fill="F8E1E1" w:color="auto" w:val="clear"/>
        <w:spacing w:after="200" w:before="0" w:line="310"/>
      </w:pP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È l'esatto contrario dell'incidente del 14 agosto: lì il codice non era ancora su develop mentre i documenti lo dicevano fatto; qui il codice </w:t>
      </w:r>
    </w:p>
    <w:p>
      <w:pPr>
        <w:spacing w:after="200" w:before="-140"/>
      </w:pP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è </w:t>
      </w: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su develop da ieri, ma i documenti non se ne sono ancora accorti. Stessa causa in entrambi i casi — nessun passo esplicito di sincronizzazione doc↔repo subito dopo un merge — sintomo speculare.</w:t>
      </w:r>
    </w:p>
    <w:p>
      <w:pPr>
        <w:spacing w:after="160" w:line="320"/>
      </w:pPr>
      <w:r>
        <w:rPr>
          <w:rFonts w:ascii="IBM Plex Sans" w:cs="IBM Plex Sans" w:eastAsia="IBM Plex Sans" w:hAnsi="IBM Plex Sans"/>
          <w:color w:val="1A1E27"/>
          <w:sz w:val="21"/>
          <w:szCs w:val="21"/>
        </w:rPr>
        <w:t xml:space="preserve">Un terzo segnale, indipendente dai primi due: issue #48 (chiusa il 24 agosto) ha trovato che bench_ddr4_to_vram() andava in OOM garantito su una singola GPU da quando N_SHARDS era stato alzato da 20 a 100 — un bug dormiente, mai eseguito fino in fondo dal momento del bump. I numeri “✅ rispettato” citati per il target 4 vengono correttamente dalla sezione promote_live_tensor, misurata prima del bump — ma l'episodio è un promemoria diretto: prima di citare qualunque numero di benchmark nel paper, vale la pena una passata esplicita per verificare che ogni script citato sia stato rieseguito con i parametri correnti.</w:t>
      </w:r>
    </w:p>
    <w:p>
      <w:pPr>
        <w:spacing w:after="20" w:before="200"/>
      </w:pPr>
      <w:r>
        <w:rPr>
          <w:rFonts w:ascii="IBM Plex Mono" w:cs="IBM Plex Mono" w:eastAsia="IBM Plex Mono" w:hAnsi="IBM Plex Mono"/>
          <w:b/>
          <w:bCs/>
          <w:color w:val="A85A28"/>
          <w:spacing w:val="20"/>
          <w:sz w:val="17"/>
          <w:szCs w:val="17"/>
        </w:rPr>
        <w:t xml:space="preserve">07 — RACCOMANDAZIONI</w:t>
      </w:r>
    </w:p>
    <w:p>
      <w:pPr>
        <w:pStyle w:val="Heading1"/>
        <w:pBdr>
          <w:bottom w:val="single" w:color="A85A28" w:sz="6" w:space="6"/>
        </w:pBdr>
        <w:spacing w:after="160" w:before="420"/>
      </w:pPr>
      <w:r>
        <w:rPr>
          <w:rFonts w:ascii="IBM Plex Sans" w:cs="IBM Plex Sans" w:eastAsia="IBM Plex Sans" w:hAnsi="IBM Plex Sans"/>
          <w:b/>
          <w:bCs/>
          <w:color w:val="1A1E27"/>
          <w:sz w:val="30"/>
          <w:szCs w:val="30"/>
        </w:rPr>
        <w:t xml:space="preserve">Nove azioni, in ordine di priorità</w:t>
      </w:r>
    </w:p>
    <w:p>
      <w:pPr>
        <w:pStyle w:val="ListParagraph"/>
        <w:numPr>
          <w:ilvl w:val="0"/>
          <w:numId w:val="3"/>
        </w:numPr>
        <w:spacing w:after="180" w:line="300"/>
      </w:pPr>
      <w:r>
        <w:rPr>
          <w:rFonts w:ascii="IBM Plex Sans" w:cs="IBM Plex Sans" w:eastAsia="IBM Plex Sans" w:hAnsi="IBM Plex Sans"/>
          <w:b/>
          <w:bCs/>
          <w:color w:val="1A1E27"/>
          <w:sz w:val="21"/>
          <w:szCs w:val="21"/>
        </w:rPr>
        <w:t xml:space="preserve">Decidere esplicitamente il destino del 31 agosto — </w:t>
      </w:r>
      <w:r>
        <w:rPr>
          <w:rFonts w:ascii="IBM Plex Sans" w:cs="IBM Plex Sans" w:eastAsia="IBM Plex Sans" w:hAnsi="IBM Plex Sans"/>
          <w:color w:val="5B6472"/>
          <w:sz w:val="21"/>
          <w:szCs w:val="21"/>
        </w:rPr>
        <w:t xml:space="preserve">O si congela ogni nuovo filone esplorativo (#49, #53, #55, integrazione PMEM #57, Sprint 6) fino a submission, e i prossimi 6 giorni vanno interamente a B3→B5 — oppure si sposta il target pubblicamente in README/piano. In entrambi i casi, come decisione scritta e datata, non come deriva silenziosa.</w:t>
      </w:r>
    </w:p>
    <w:p>
      <w:pPr>
        <w:pStyle w:val="ListParagraph"/>
        <w:numPr>
          <w:ilvl w:val="0"/>
          <w:numId w:val="3"/>
        </w:numPr>
        <w:spacing w:after="180" w:line="300"/>
      </w:pPr>
      <w:r>
        <w:rPr>
          <w:rFonts w:ascii="IBM Plex Sans" w:cs="IBM Plex Sans" w:eastAsia="IBM Plex Sans" w:hAnsi="IBM Plex Sans"/>
          <w:b/>
          <w:bCs/>
          <w:color w:val="1A1E27"/>
          <w:sz w:val="21"/>
          <w:szCs w:val="21"/>
        </w:rPr>
        <w:t xml:space="preserve">Sincronizzare subito README/CHANGELOG con le 5 PR già mersate il 24 agosto — </w:t>
      </w:r>
      <w:r>
        <w:rPr>
          <w:rFonts w:ascii="IBM Plex Sans" w:cs="IBM Plex Sans" w:eastAsia="IBM Plex Sans" w:hAnsi="IBM Plex Sans"/>
          <w:color w:val="5B6472"/>
          <w:sz w:val="21"/>
          <w:szCs w:val="21"/>
        </w:rPr>
        <w:t xml:space="preserve">PR #42, #50, #51, #52, #54 sono su develop da ieri, ma README (banner PR #42, tabella vincoli PMEM, tabella Known limitations #12) e CHANGELOG (sezione [Berg] ferma al 13 agosto) non lo riflettono ancora. Meccanico, a basso rischio.</w:t>
      </w:r>
    </w:p>
    <w:p>
      <w:pPr>
        <w:pStyle w:val="ListParagraph"/>
        <w:numPr>
          <w:ilvl w:val="0"/>
          <w:numId w:val="3"/>
        </w:numPr>
        <w:spacing w:after="180" w:line="300"/>
      </w:pPr>
      <w:r>
        <w:rPr>
          <w:rFonts w:ascii="IBM Plex Sans" w:cs="IBM Plex Sans" w:eastAsia="IBM Plex Sans" w:hAnsi="IBM Plex Sans"/>
          <w:b/>
          <w:bCs/>
          <w:color w:val="1A1E27"/>
          <w:sz w:val="21"/>
          <w:szCs w:val="21"/>
        </w:rPr>
        <w:t xml:space="preserve">Chiudere B3 al minimo indispensabile, o ridurne esplicitamente la barra — </w:t>
      </w:r>
      <w:r>
        <w:rPr>
          <w:rFonts w:ascii="IBM Plex Sans" w:cs="IBM Plex Sans" w:eastAsia="IBM Plex Sans" w:hAnsi="IBM Plex Sans"/>
          <w:color w:val="5B6472"/>
          <w:sz w:val="21"/>
          <w:szCs w:val="21"/>
        </w:rPr>
        <w:t xml:space="preserve">Leggere FineMoE per intero (blocco già auto-imposto) oppure decidere apertamente che, trattandosi di un self-archive arXiv senza peer review, una survey più snella è accettabile. È il rischio più alto sul calendario.</w:t>
      </w:r>
    </w:p>
    <w:p>
      <w:pPr>
        <w:pStyle w:val="ListParagraph"/>
        <w:numPr>
          <w:ilvl w:val="0"/>
          <w:numId w:val="3"/>
        </w:numPr>
        <w:spacing w:after="180" w:line="300"/>
      </w:pPr>
      <w:r>
        <w:rPr>
          <w:rFonts w:ascii="IBM Plex Sans" w:cs="IBM Plex Sans" w:eastAsia="IBM Plex Sans" w:hAnsi="IBM Plex Sans"/>
          <w:b/>
          <w:bCs/>
          <w:color w:val="1A1E27"/>
          <w:sz w:val="21"/>
          <w:szCs w:val="21"/>
        </w:rPr>
        <w:t xml:space="preserve">Creare lo scheletro osx-poc/paper/ ora, anche vuoto — </w:t>
      </w:r>
      <w:r>
        <w:rPr>
          <w:rFonts w:ascii="IBM Plex Sans" w:cs="IBM Plex Sans" w:eastAsia="IBM Plex Sans" w:hAnsi="IBM Plex Sans"/>
          <w:color w:val="5B6472"/>
          <w:sz w:val="21"/>
          <w:szCs w:val="21"/>
        </w:rPr>
        <w:t xml:space="preserve">Template ACM sigconf + .bib — dodici giorni dopo la data in cui B4 doveva partire, non esiste ancora nulla su cui scrivere.</w:t>
      </w:r>
    </w:p>
    <w:p>
      <w:pPr>
        <w:pStyle w:val="ListParagraph"/>
        <w:numPr>
          <w:ilvl w:val="0"/>
          <w:numId w:val="3"/>
        </w:numPr>
        <w:spacing w:after="180" w:line="300"/>
      </w:pPr>
      <w:r>
        <w:rPr>
          <w:rFonts w:ascii="IBM Plex Sans" w:cs="IBM Plex Sans" w:eastAsia="IBM Plex Sans" w:hAnsi="IBM Plex Sans"/>
          <w:b/>
          <w:bCs/>
          <w:color w:val="1A1E27"/>
          <w:sz w:val="21"/>
          <w:szCs w:val="21"/>
        </w:rPr>
        <w:t xml:space="preserve">Chiudere il gate del Filone A: repro pulita, tag, banner README — </w:t>
      </w:r>
      <w:r>
        <w:rPr>
          <w:rFonts w:ascii="IBM Plex Sans" w:cs="IBM Plex Sans" w:eastAsia="IBM Plex Sans" w:hAnsi="IBM Plex Sans"/>
          <w:color w:val="5B6472"/>
          <w:sz w:val="21"/>
          <w:szCs w:val="21"/>
        </w:rPr>
        <w:t xml:space="preserve">Un make smoke &amp;&amp; make test verde da zero su ambiente pulito, la decisione v0.5.0 vs. v1.0.0-poc (ancora esplicitamente aperta nel piano), e l'aggiornamento del banner — indipendenti dal paper.</w:t>
      </w:r>
    </w:p>
    <w:p>
      <w:pPr>
        <w:pStyle w:val="ListParagraph"/>
        <w:numPr>
          <w:ilvl w:val="0"/>
          <w:numId w:val="3"/>
        </w:numPr>
        <w:spacing w:after="180" w:line="300"/>
      </w:pPr>
      <w:r>
        <w:rPr>
          <w:rFonts w:ascii="IBM Plex Sans" w:cs="IBM Plex Sans" w:eastAsia="IBM Plex Sans" w:hAnsi="IBM Plex Sans"/>
          <w:b/>
          <w:bCs/>
          <w:color w:val="1A1E27"/>
          <w:sz w:val="21"/>
          <w:szCs w:val="21"/>
        </w:rPr>
        <w:t xml:space="preserve">Ri-eseguire la suite benchmark completa dopo il fix di #48 — </w:t>
      </w:r>
      <w:r>
        <w:rPr>
          <w:rFonts w:ascii="IBM Plex Sans" w:cs="IBM Plex Sans" w:eastAsia="IBM Plex Sans" w:hAnsi="IBM Plex Sans"/>
          <w:color w:val="5B6472"/>
          <w:sz w:val="21"/>
          <w:szCs w:val="21"/>
        </w:rPr>
        <w:t xml:space="preserve">E fare una passata esplicita per altri parametri “alzati ma mai rieseguiti” prima di citare qualunque numero nel paper — lezione diretta di #48.</w:t>
      </w:r>
    </w:p>
    <w:p>
      <w:pPr>
        <w:pStyle w:val="ListParagraph"/>
        <w:numPr>
          <w:ilvl w:val="0"/>
          <w:numId w:val="3"/>
        </w:numPr>
        <w:spacing w:after="180" w:line="300"/>
      </w:pPr>
      <w:r>
        <w:rPr>
          <w:rFonts w:ascii="IBM Plex Sans" w:cs="IBM Plex Sans" w:eastAsia="IBM Plex Sans" w:hAnsi="IBM Plex Sans"/>
          <w:b/>
          <w:bCs/>
          <w:color w:val="1A1E27"/>
          <w:sz w:val="21"/>
          <w:szCs w:val="21"/>
        </w:rPr>
        <w:t xml:space="preserve">Chiarire la disposizione di #41 rispetto alla migrazione Z8 — </w:t>
      </w:r>
      <w:r>
        <w:rPr>
          <w:rFonts w:ascii="IBM Plex Sans" w:cs="IBM Plex Sans" w:eastAsia="IBM Plex Sans" w:hAnsi="IBM Plex Sans"/>
          <w:color w:val="5B6472"/>
          <w:sz w:val="21"/>
          <w:szCs w:val="21"/>
        </w:rPr>
        <w:t xml:space="preserve">Se il vecchio runner viene ritirato a favore della nuova Z8 bare-metal, #41 è moot e va chiusa come tale; altrimenti il disco va ancora liberato.</w:t>
      </w:r>
    </w:p>
    <w:p>
      <w:pPr>
        <w:pStyle w:val="ListParagraph"/>
        <w:numPr>
          <w:ilvl w:val="0"/>
          <w:numId w:val="3"/>
        </w:numPr>
        <w:spacing w:after="180" w:line="300"/>
      </w:pPr>
      <w:r>
        <w:rPr>
          <w:rFonts w:ascii="IBM Plex Sans" w:cs="IBM Plex Sans" w:eastAsia="IBM Plex Sans" w:hAnsi="IBM Plex Sans"/>
          <w:b/>
          <w:bCs/>
          <w:color w:val="1A1E27"/>
          <w:sz w:val="21"/>
          <w:szCs w:val="21"/>
        </w:rPr>
        <w:t xml:space="preserve">Fissare #18 prima di ulteriore lavoro sulla nuova Z8 bare-metal — </w:t>
      </w:r>
      <w:r>
        <w:rPr>
          <w:rFonts w:ascii="IBM Plex Sans" w:cs="IBM Plex Sans" w:eastAsia="IBM Plex Sans" w:hAnsi="IBM Plex Sans"/>
          <w:color w:val="5B6472"/>
          <w:sz w:val="21"/>
          <w:szCs w:val="21"/>
        </w:rPr>
        <w:t xml:space="preserve">È esattamente lo scenario che l'issue esiste per prevenire, e la migrazione appena iniziata lo rende concreto, non ipotetico.</w:t>
      </w:r>
    </w:p>
    <w:p>
      <w:pPr>
        <w:pStyle w:val="ListParagraph"/>
        <w:numPr>
          <w:ilvl w:val="0"/>
          <w:numId w:val="3"/>
        </w:numPr>
        <w:spacing w:after="180" w:line="300"/>
      </w:pPr>
      <w:r>
        <w:rPr>
          <w:rFonts w:ascii="IBM Plex Sans" w:cs="IBM Plex Sans" w:eastAsia="IBM Plex Sans" w:hAnsi="IBM Plex Sans"/>
          <w:b/>
          <w:bCs/>
          <w:color w:val="1A1E27"/>
          <w:sz w:val="21"/>
          <w:szCs w:val="21"/>
        </w:rPr>
        <w:t xml:space="preserve">Ottenere un numero p99 pulito per il target PT-PEP prima di citarlo nel paper — </w:t>
      </w:r>
      <w:r>
        <w:rPr>
          <w:rFonts w:ascii="IBM Plex Sans" w:cs="IBM Plex Sans" w:eastAsia="IBM Plex Sans" w:hAnsi="IBM Plex Sans"/>
          <w:color w:val="5B6472"/>
          <w:sz w:val="21"/>
          <w:szCs w:val="21"/>
        </w:rPr>
        <w:t xml:space="preserve">È l'unico dei quattro target senza una misura pulita alle spalle — citarlo come “measured” senza risolvere questo sarebbe un'inconsistenza che un reviewer esterno individuerebbe subito.</w:t>
      </w:r>
    </w:p>
    <w:p>
      <w:pPr>
        <w:spacing w:after="20" w:before="200"/>
      </w:pPr>
      <w:r>
        <w:rPr>
          <w:rFonts w:ascii="IBM Plex Mono" w:cs="IBM Plex Mono" w:eastAsia="IBM Plex Mono" w:hAnsi="IBM Plex Mono"/>
          <w:b/>
          <w:bCs/>
          <w:color w:val="A85A28"/>
          <w:spacing w:val="20"/>
          <w:sz w:val="17"/>
          <w:szCs w:val="17"/>
        </w:rPr>
        <w:t xml:space="preserve">08 — PUNTI DI FORZA</w:t>
      </w:r>
    </w:p>
    <w:p>
      <w:pPr>
        <w:pStyle w:val="Heading1"/>
        <w:pBdr>
          <w:bottom w:val="single" w:color="A85A28" w:sz="6" w:space="6"/>
        </w:pBdr>
        <w:spacing w:after="160" w:before="420"/>
      </w:pPr>
      <w:r>
        <w:rPr>
          <w:rFonts w:ascii="IBM Plex Sans" w:cs="IBM Plex Sans" w:eastAsia="IBM Plex Sans" w:hAnsi="IBM Plex Sans"/>
          <w:b/>
          <w:bCs/>
          <w:color w:val="1A1E27"/>
          <w:sz w:val="30"/>
          <w:szCs w:val="30"/>
        </w:rPr>
        <w:t xml:space="preserve">Pratiche da preservare, non da correggere</w:t>
      </w:r>
    </w:p>
    <w:p>
      <w:pPr>
        <w:pBdr>
          <w:left w:val="single" w:color="2F7D5A" w:sz="24" w:space="8"/>
        </w:pBdr>
        <w:shd w:fill="E1F0E7" w:color="auto" w:val="clear"/>
        <w:spacing w:after="160" w:line="300"/>
      </w:pPr>
      <w:r>
        <w:rPr>
          <w:rFonts w:ascii="IBM Plex Sans" w:cs="IBM Plex Sans" w:eastAsia="IBM Plex Sans" w:hAnsi="IBM Plex Sans"/>
          <w:b/>
          <w:bCs/>
          <w:color w:val="2F7D5A"/>
          <w:sz w:val="20"/>
          <w:szCs w:val="20"/>
        </w:rPr>
        <w:t xml:space="preserve">La regola di igiene del tracker issue
</w:t>
      </w:r>
      <w:r>
        <w:rPr>
          <w:rFonts w:ascii="IBM Plex Sans" w:cs="IBM Plex Sans" w:eastAsia="IBM Plex Sans" w:hAnsi="IBM Plex Sans"/>
          <w:color w:val="5B6472"/>
          <w:sz w:val="20"/>
          <w:szCs w:val="20"/>
        </w:rPr>
        <w:t xml:space="preserve">“Chiuso su GitHub” e “mersato su develop” sono trattati come due condizioni distinte, entrambe necessarie — una disciplina rara, nata da un errore reale scoperto e corretto in modo trasparente.</w:t>
      </w:r>
    </w:p>
    <w:p>
      <w:pPr>
        <w:pBdr>
          <w:left w:val="single" w:color="2F7D5A" w:sz="24" w:space="8"/>
        </w:pBdr>
        <w:shd w:fill="E1F0E7" w:color="auto" w:val="clear"/>
        <w:spacing w:after="160" w:line="300"/>
      </w:pPr>
      <w:r>
        <w:rPr>
          <w:rFonts w:ascii="IBM Plex Sans" w:cs="IBM Plex Sans" w:eastAsia="IBM Plex Sans" w:hAnsi="IBM Plex Sans"/>
          <w:b/>
          <w:bCs/>
          <w:color w:val="2F7D5A"/>
          <w:sz w:val="20"/>
          <w:szCs w:val="20"/>
        </w:rPr>
        <w:t xml:space="preserve">Verifica su hardware reale, non solo in sandbox
</w:t>
      </w:r>
      <w:r>
        <w:rPr>
          <w:rFonts w:ascii="IBM Plex Sans" w:cs="IBM Plex Sans" w:eastAsia="IBM Plex Sans" w:hAnsi="IBM Plex Sans"/>
          <w:color w:val="5B6472"/>
          <w:sz w:val="20"/>
          <w:szCs w:val="20"/>
        </w:rPr>
        <w:t xml:space="preserve">Le misure di contention su #2/#23 sono state ripetute su Z8-G4-RTX3090 proprio perché i numeri sandbox e pod non concordavano — e i quattro numeri discordanti sono stati tenuti tutti, non nascosti dietro il più favorevole.</w:t>
      </w:r>
    </w:p>
    <w:p>
      <w:pPr>
        <w:pBdr>
          <w:left w:val="single" w:color="2F7D5A" w:sz="24" w:space="8"/>
        </w:pBdr>
        <w:shd w:fill="E1F0E7" w:color="auto" w:val="clear"/>
        <w:spacing w:after="160" w:line="300"/>
      </w:pPr>
      <w:r>
        <w:rPr>
          <w:rFonts w:ascii="IBM Plex Sans" w:cs="IBM Plex Sans" w:eastAsia="IBM Plex Sans" w:hAnsi="IBM Plex Sans"/>
          <w:b/>
          <w:bCs/>
          <w:color w:val="2F7D5A"/>
          <w:sz w:val="20"/>
          <w:szCs w:val="20"/>
        </w:rPr>
        <w:t xml:space="preserve">Risultati negativi dichiarati onestamente
</w:t>
      </w:r>
      <w:r>
        <w:rPr>
          <w:rFonts w:ascii="IBM Plex Sans" w:cs="IBM Plex Sans" w:eastAsia="IBM Plex Sans" w:hAnsi="IBM Plex Sans"/>
          <w:color w:val="5B6472"/>
          <w:sz w:val="20"/>
          <w:szCs w:val="20"/>
        </w:rPr>
        <w:t xml:space="preserve">La rimozione del Bloom filter (issue #1) e la nota esplicita sull'evidenza debole del target PT-PEP sono l'onestà che un paper scientifico richiede — e qui esiste già prima ancora di scrivere il paper.</w:t>
      </w:r>
    </w:p>
    <w:p>
      <w:pPr>
        <w:pBdr>
          <w:left w:val="single" w:color="2F7D5A" w:sz="24" w:space="8"/>
        </w:pBdr>
        <w:shd w:fill="E1F0E7" w:color="auto" w:val="clear"/>
        <w:spacing w:after="160" w:line="300"/>
      </w:pPr>
      <w:r>
        <w:rPr>
          <w:rFonts w:ascii="IBM Plex Sans" w:cs="IBM Plex Sans" w:eastAsia="IBM Plex Sans" w:hAnsi="IBM Plex Sans"/>
          <w:b/>
          <w:bCs/>
          <w:color w:val="2F7D5A"/>
          <w:sz w:val="20"/>
          <w:szCs w:val="20"/>
        </w:rPr>
        <w:t xml:space="preserve">Feature flag a rischio zero per costruzione
</w:t>
      </w:r>
      <w:r>
        <w:rPr>
          <w:rFonts w:ascii="IBM Plex Sans" w:cs="IBM Plex Sans" w:eastAsia="IBM Plex Sans" w:hAnsi="IBM Plex Sans"/>
          <w:color w:val="5B6472"/>
          <w:sz w:val="20"/>
          <w:szCs w:val="20"/>
        </w:rPr>
        <w:t xml:space="preserve">tier_manager=None, enable_cpu_offload=False, pin=False: ogni funzionalità nuova è opt-in con test di regressione dedicati sul comportamento di default — un pattern applicato con costanza dallo Sprint 3 in poi.</w:t>
      </w:r>
    </w:p>
    <w:p>
      <w:pPr>
        <w:pBdr>
          <w:top w:val="single" w:color="D6DAE2" w:sz="4"/>
        </w:pBdr>
        <w:spacing w:before="300"/>
      </w:pPr>
    </w:p>
    <w:p>
      <w:pPr>
        <w:spacing w:before="160"/>
      </w:pPr>
      <w:r>
        <w:rPr>
          <w:rFonts w:ascii="IBM Plex Mono" w:cs="IBM Plex Mono" w:eastAsia="IBM Plex Mono" w:hAnsi="IBM Plex Mono"/>
          <w:color w:val="5B6472"/>
          <w:sz w:val="16"/>
          <w:szCs w:val="16"/>
        </w:rPr>
        <w:t xml:space="preserve">Fonti: README.md, osx-poc/CHANGELOG.MD, osx-poc/reports/sprint5_berg_plan.md, osx-poc/reports/poc_final_report.md, osx-poc/logbook_paper.md, osx-poc/LOGBOOK_NEW_Z8.md, GitHub Issues #1–#57 (danielesalpietro/vMemoryFabric) al 25 ago 2026.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IBM Plex Mono" w:cs="IBM Plex Mono" w:eastAsia="IBM Plex Mono" w:hAnsi="IBM Plex Mono"/>
        <w:color w:val="848D9C"/>
        <w:sz w:val="15"/>
        <w:szCs w:val="15"/>
      </w:rPr>
      <w:t xml:space="preserve">pagina </w:t>
    </w:r>
    <w:r>
      <w:rPr>
        <w:rFonts w:ascii="IBM Plex Mono" w:cs="IBM Plex Mono" w:eastAsia="IBM Plex Mono" w:hAnsi="IBM Plex Mono"/>
        <w:color w:val="848D9C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BM Plex Mono" w:cs="IBM Plex Mono" w:eastAsia="IBM Plex Mono" w:hAnsi="IBM Plex Mono"/>
        <w:color w:val="848D9C"/>
        <w:sz w:val="15"/>
        <w:szCs w:val="15"/>
      </w:rPr>
      <w:t xml:space="preserve">OSX / vMemoryFabric — Project Plan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A1E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/>
    </w:pPr>
    <w:rPr>
      <w:rFonts w:ascii="IBM Plex Sans" w:cs="IBM Plex Sans" w:eastAsia="IBM Plex Sans" w:hAnsi="IBM Plex Sans"/>
      <w:b/>
      <w:bCs/>
      <w:color w:val="1A1E27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2026-08-25T09:50:54.785Z</dcterms:created>
  <dcterms:modified xsi:type="dcterms:W3CDTF">2026-08-25T09:50:54.785Z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