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D73C1" w14:textId="77777777" w:rsidR="00F26201" w:rsidRPr="00974FC5" w:rsidRDefault="00F26201" w:rsidP="00022AE1">
      <w:pPr>
        <w:spacing w:line="360" w:lineRule="auto"/>
        <w:rPr>
          <w:rFonts w:ascii="Times New Roman" w:hAnsi="Times New Roman" w:cs="Times New Roman"/>
          <w:b/>
          <w:sz w:val="48"/>
          <w:szCs w:val="48"/>
          <w:lang w:val="en-GB"/>
        </w:rPr>
      </w:pPr>
      <w:r w:rsidRPr="00974FC5">
        <w:rPr>
          <w:rFonts w:ascii="Times New Roman" w:hAnsi="Times New Roman" w:cs="Times New Roman"/>
          <w:b/>
          <w:sz w:val="48"/>
          <w:szCs w:val="48"/>
          <w:lang w:val="en-GB"/>
        </w:rPr>
        <w:t xml:space="preserve">The determinants of dividend </w:t>
      </w:r>
      <w:proofErr w:type="spellStart"/>
      <w:r w:rsidRPr="00974FC5">
        <w:rPr>
          <w:rFonts w:ascii="Times New Roman" w:hAnsi="Times New Roman" w:cs="Times New Roman"/>
          <w:b/>
          <w:sz w:val="48"/>
          <w:szCs w:val="48"/>
          <w:lang w:val="en-GB"/>
        </w:rPr>
        <w:t>payout</w:t>
      </w:r>
      <w:proofErr w:type="spellEnd"/>
      <w:r w:rsidRPr="00974FC5">
        <w:rPr>
          <w:rFonts w:ascii="Times New Roman" w:hAnsi="Times New Roman" w:cs="Times New Roman"/>
          <w:b/>
          <w:sz w:val="48"/>
          <w:szCs w:val="48"/>
          <w:lang w:val="en-GB"/>
        </w:rPr>
        <w:t xml:space="preserve"> policies</w:t>
      </w:r>
    </w:p>
    <w:p w14:paraId="591CD7B4" w14:textId="228EAAA0" w:rsidR="00F26201" w:rsidRDefault="00F26201" w:rsidP="00022AE1">
      <w:pPr>
        <w:spacing w:line="360" w:lineRule="auto"/>
        <w:rPr>
          <w:rFonts w:ascii="Times New Roman" w:hAnsi="Times New Roman" w:cs="Times New Roman"/>
          <w:b/>
          <w:sz w:val="32"/>
          <w:szCs w:val="32"/>
        </w:rPr>
      </w:pPr>
      <w:r w:rsidRPr="00974FC5">
        <w:rPr>
          <w:rFonts w:ascii="Times New Roman" w:hAnsi="Times New Roman" w:cs="Times New Roman"/>
          <w:b/>
          <w:sz w:val="32"/>
          <w:szCs w:val="32"/>
        </w:rPr>
        <w:t xml:space="preserve">Aurora De </w:t>
      </w:r>
      <w:proofErr w:type="spellStart"/>
      <w:r w:rsidRPr="00974FC5">
        <w:rPr>
          <w:rFonts w:ascii="Times New Roman" w:hAnsi="Times New Roman" w:cs="Times New Roman"/>
          <w:b/>
          <w:sz w:val="32"/>
          <w:szCs w:val="32"/>
        </w:rPr>
        <w:t>Gaspari</w:t>
      </w:r>
      <w:proofErr w:type="spellEnd"/>
      <w:r w:rsidRPr="00974FC5">
        <w:rPr>
          <w:rFonts w:ascii="Times New Roman" w:hAnsi="Times New Roman" w:cs="Times New Roman"/>
          <w:b/>
          <w:sz w:val="32"/>
          <w:szCs w:val="32"/>
        </w:rPr>
        <w:t>, Laura Paoletti, Daniele Veggiato</w:t>
      </w:r>
    </w:p>
    <w:p w14:paraId="682396C3" w14:textId="77777777" w:rsidR="00022AE1" w:rsidRPr="00022AE1" w:rsidRDefault="00022AE1" w:rsidP="00022AE1">
      <w:pPr>
        <w:spacing w:line="360" w:lineRule="auto"/>
        <w:rPr>
          <w:rFonts w:ascii="Times New Roman" w:hAnsi="Times New Roman" w:cs="Times New Roman"/>
          <w:b/>
          <w:sz w:val="24"/>
          <w:szCs w:val="24"/>
          <w:lang w:val="en-GB"/>
        </w:rPr>
      </w:pPr>
      <w:r w:rsidRPr="00022AE1">
        <w:rPr>
          <w:rFonts w:ascii="Times New Roman" w:hAnsi="Times New Roman" w:cs="Times New Roman"/>
          <w:b/>
          <w:sz w:val="24"/>
          <w:szCs w:val="24"/>
          <w:lang w:val="en-GB"/>
        </w:rPr>
        <w:t>Empirical Corporate Finance 2019/2020</w:t>
      </w:r>
    </w:p>
    <w:p w14:paraId="19CFDF1C" w14:textId="385BB1B9" w:rsidR="00022AE1" w:rsidRPr="00022AE1" w:rsidRDefault="00022AE1" w:rsidP="00022AE1">
      <w:pPr>
        <w:spacing w:line="360" w:lineRule="auto"/>
        <w:rPr>
          <w:rFonts w:ascii="Times New Roman" w:hAnsi="Times New Roman" w:cs="Times New Roman"/>
          <w:b/>
          <w:sz w:val="24"/>
          <w:szCs w:val="24"/>
          <w:lang w:val="en-GB"/>
        </w:rPr>
      </w:pPr>
      <w:r w:rsidRPr="00022AE1">
        <w:rPr>
          <w:rFonts w:ascii="Times New Roman" w:hAnsi="Times New Roman" w:cs="Times New Roman"/>
          <w:b/>
          <w:sz w:val="24"/>
          <w:szCs w:val="24"/>
          <w:lang w:val="en-GB"/>
        </w:rPr>
        <w:t>ISEG, Lisbon</w:t>
      </w:r>
    </w:p>
    <w:p w14:paraId="10C8965F" w14:textId="77777777" w:rsidR="00F26201" w:rsidRPr="00022AE1" w:rsidRDefault="00F26201" w:rsidP="009F6CCE">
      <w:pPr>
        <w:spacing w:line="360" w:lineRule="auto"/>
        <w:jc w:val="both"/>
        <w:rPr>
          <w:rFonts w:ascii="Times New Roman" w:hAnsi="Times New Roman" w:cs="Times New Roman"/>
          <w:lang w:val="en-GB"/>
        </w:rPr>
      </w:pPr>
    </w:p>
    <w:p w14:paraId="6FDA35FB" w14:textId="77777777" w:rsidR="00F26201" w:rsidRPr="00974FC5" w:rsidRDefault="00F26201" w:rsidP="009F6CCE">
      <w:pPr>
        <w:spacing w:line="360" w:lineRule="auto"/>
        <w:jc w:val="both"/>
        <w:rPr>
          <w:rFonts w:ascii="Times New Roman" w:hAnsi="Times New Roman" w:cs="Times New Roman"/>
          <w:lang w:val="en-US"/>
        </w:rPr>
      </w:pPr>
    </w:p>
    <w:p w14:paraId="06A41964" w14:textId="71E53369" w:rsidR="00F26201" w:rsidRPr="00974FC5" w:rsidRDefault="00F26201" w:rsidP="009F6CCE">
      <w:pPr>
        <w:spacing w:line="360" w:lineRule="auto"/>
        <w:jc w:val="both"/>
        <w:rPr>
          <w:rFonts w:ascii="Times New Roman" w:hAnsi="Times New Roman" w:cs="Times New Roman"/>
          <w:b/>
          <w:lang w:val="en-US"/>
        </w:rPr>
      </w:pPr>
      <w:r w:rsidRPr="00974FC5">
        <w:rPr>
          <w:rFonts w:ascii="Times New Roman" w:hAnsi="Times New Roman" w:cs="Times New Roman"/>
          <w:b/>
          <w:lang w:val="en-US"/>
        </w:rPr>
        <w:t>ABSTRACT</w:t>
      </w:r>
    </w:p>
    <w:p w14:paraId="606ED297" w14:textId="77777777" w:rsidR="00F26201" w:rsidRPr="00974FC5" w:rsidRDefault="00F26201" w:rsidP="009F6CCE">
      <w:pPr>
        <w:spacing w:line="360" w:lineRule="auto"/>
        <w:jc w:val="both"/>
        <w:rPr>
          <w:rFonts w:ascii="Times New Roman" w:hAnsi="Times New Roman" w:cs="Times New Roman"/>
          <w:lang w:val="en-US"/>
        </w:rPr>
      </w:pPr>
    </w:p>
    <w:p w14:paraId="1691CCB7" w14:textId="6976796C" w:rsidR="00F26201" w:rsidRPr="00974FC5" w:rsidRDefault="00F26201" w:rsidP="009F6CCE">
      <w:pPr>
        <w:spacing w:line="360" w:lineRule="auto"/>
        <w:jc w:val="both"/>
        <w:rPr>
          <w:rFonts w:ascii="Times New Roman" w:hAnsi="Times New Roman" w:cs="Times New Roman"/>
          <w:lang w:val="en-US"/>
        </w:rPr>
      </w:pPr>
      <w:r w:rsidRPr="00974FC5">
        <w:rPr>
          <w:rFonts w:ascii="Times New Roman" w:hAnsi="Times New Roman" w:cs="Times New Roman"/>
          <w:lang w:val="en-US"/>
        </w:rPr>
        <w:t xml:space="preserve">This paper aims to identify the determinants of dividend payout ratios. We select from the literature eight important factors that may be instrumental in affecting the dividend payout decision, i.e. profitability, cash flow, corporate tax, sales growth, price-to-book ratio, debt-to-equity ratio, size, life-cycle stage. We study such variables conducing a panel data analysis on 156 companies listed in the EURONEXT (Paris, Amsterdam, </w:t>
      </w:r>
      <w:proofErr w:type="spellStart"/>
      <w:r w:rsidRPr="00974FC5">
        <w:rPr>
          <w:rFonts w:ascii="Times New Roman" w:hAnsi="Times New Roman" w:cs="Times New Roman"/>
          <w:lang w:val="en-US"/>
        </w:rPr>
        <w:t>Bruxelles</w:t>
      </w:r>
      <w:proofErr w:type="spellEnd"/>
      <w:r w:rsidRPr="00974FC5">
        <w:rPr>
          <w:rFonts w:ascii="Times New Roman" w:hAnsi="Times New Roman" w:cs="Times New Roman"/>
          <w:lang w:val="en-US"/>
        </w:rPr>
        <w:t xml:space="preserve">, </w:t>
      </w:r>
      <w:proofErr w:type="gramStart"/>
      <w:r w:rsidRPr="00974FC5">
        <w:rPr>
          <w:rFonts w:ascii="Times New Roman" w:hAnsi="Times New Roman" w:cs="Times New Roman"/>
          <w:lang w:val="en-US"/>
        </w:rPr>
        <w:t>Lisbon</w:t>
      </w:r>
      <w:proofErr w:type="gramEnd"/>
      <w:r w:rsidRPr="00974FC5">
        <w:rPr>
          <w:rFonts w:ascii="Times New Roman" w:hAnsi="Times New Roman" w:cs="Times New Roman"/>
          <w:lang w:val="en-US"/>
        </w:rPr>
        <w:t xml:space="preserve">) for the period from 2009 </w:t>
      </w:r>
      <w:r w:rsidRPr="00A6726C">
        <w:rPr>
          <w:rFonts w:ascii="Times New Roman" w:hAnsi="Times New Roman" w:cs="Times New Roman"/>
          <w:lang w:val="en-US"/>
        </w:rPr>
        <w:t>to 2018.</w:t>
      </w:r>
      <w:r w:rsidR="00A6726C" w:rsidRPr="00A6726C">
        <w:rPr>
          <w:rFonts w:ascii="Times New Roman" w:hAnsi="Times New Roman" w:cs="Times New Roman"/>
          <w:lang w:val="en-US"/>
        </w:rPr>
        <w:t xml:space="preserve"> </w:t>
      </w:r>
      <w:r w:rsidR="00A6726C" w:rsidRPr="00A6726C">
        <w:rPr>
          <w:rFonts w:ascii="Times New Roman" w:hAnsi="Times New Roman" w:cs="Times New Roman"/>
          <w:lang w:val="en-GB"/>
        </w:rPr>
        <w:t xml:space="preserve">Our findings show ROA, net cash flow from operating activities and debt-to-equity </w:t>
      </w:r>
      <w:proofErr w:type="gramStart"/>
      <w:r w:rsidR="00A6726C" w:rsidRPr="00A6726C">
        <w:rPr>
          <w:rFonts w:ascii="Times New Roman" w:hAnsi="Times New Roman" w:cs="Times New Roman"/>
          <w:lang w:val="en-GB"/>
        </w:rPr>
        <w:t xml:space="preserve">ratio affect dividend </w:t>
      </w:r>
      <w:proofErr w:type="spellStart"/>
      <w:r w:rsidR="00A6726C" w:rsidRPr="00A6726C">
        <w:rPr>
          <w:rFonts w:ascii="Times New Roman" w:hAnsi="Times New Roman" w:cs="Times New Roman"/>
          <w:lang w:val="en-GB"/>
        </w:rPr>
        <w:t>payout</w:t>
      </w:r>
      <w:proofErr w:type="spellEnd"/>
      <w:proofErr w:type="gramEnd"/>
      <w:r w:rsidR="00A6726C" w:rsidRPr="00A6726C">
        <w:rPr>
          <w:rFonts w:ascii="Times New Roman" w:hAnsi="Times New Roman" w:cs="Times New Roman"/>
          <w:lang w:val="en-GB"/>
        </w:rPr>
        <w:t xml:space="preserve"> positively; on the contrary, the effective tax rate and the life-cycle stage have a negative marginal effect on dividend </w:t>
      </w:r>
      <w:proofErr w:type="spellStart"/>
      <w:r w:rsidR="00A6726C" w:rsidRPr="00A6726C">
        <w:rPr>
          <w:rFonts w:ascii="Times New Roman" w:hAnsi="Times New Roman" w:cs="Times New Roman"/>
          <w:lang w:val="en-GB"/>
        </w:rPr>
        <w:t>payout</w:t>
      </w:r>
      <w:proofErr w:type="spellEnd"/>
      <w:r w:rsidR="00A6726C" w:rsidRPr="00A6726C">
        <w:rPr>
          <w:rFonts w:ascii="Times New Roman" w:hAnsi="Times New Roman" w:cs="Times New Roman"/>
          <w:lang w:val="en-GB"/>
        </w:rPr>
        <w:t>.</w:t>
      </w:r>
    </w:p>
    <w:p w14:paraId="7267447F" w14:textId="77777777" w:rsidR="00F26201" w:rsidRPr="00974FC5" w:rsidRDefault="00F26201" w:rsidP="009F6CCE">
      <w:pPr>
        <w:spacing w:line="360" w:lineRule="auto"/>
        <w:jc w:val="both"/>
        <w:rPr>
          <w:rFonts w:ascii="Times New Roman" w:hAnsi="Times New Roman" w:cs="Times New Roman"/>
          <w:lang w:val="en-US"/>
        </w:rPr>
      </w:pPr>
    </w:p>
    <w:p w14:paraId="7EBBA8EE" w14:textId="331241E3" w:rsidR="00F26201" w:rsidRPr="00974FC5" w:rsidRDefault="00F26201" w:rsidP="009F6CCE">
      <w:pPr>
        <w:spacing w:line="360" w:lineRule="auto"/>
        <w:jc w:val="both"/>
        <w:rPr>
          <w:rFonts w:ascii="Times New Roman" w:hAnsi="Times New Roman" w:cs="Times New Roman"/>
          <w:b/>
          <w:lang w:val="en-US"/>
        </w:rPr>
      </w:pPr>
      <w:r w:rsidRPr="00974FC5">
        <w:rPr>
          <w:rFonts w:ascii="Times New Roman" w:hAnsi="Times New Roman" w:cs="Times New Roman"/>
          <w:b/>
          <w:lang w:val="en-US"/>
        </w:rPr>
        <w:t>1. INTRODUCTION</w:t>
      </w:r>
    </w:p>
    <w:p w14:paraId="004CA8C7" w14:textId="77777777" w:rsidR="00F26201" w:rsidRPr="00974FC5" w:rsidRDefault="00F26201" w:rsidP="009F6CCE">
      <w:pPr>
        <w:spacing w:line="360" w:lineRule="auto"/>
        <w:jc w:val="both"/>
        <w:rPr>
          <w:rFonts w:ascii="Times New Roman" w:hAnsi="Times New Roman" w:cs="Times New Roman"/>
          <w:lang w:val="en-US"/>
        </w:rPr>
      </w:pPr>
    </w:p>
    <w:p w14:paraId="747E9CA7" w14:textId="668FB2B6" w:rsidR="00F26201" w:rsidRPr="00974FC5" w:rsidRDefault="00F26201" w:rsidP="009F6CCE">
      <w:pPr>
        <w:spacing w:line="360" w:lineRule="auto"/>
        <w:jc w:val="both"/>
        <w:rPr>
          <w:rFonts w:ascii="Times New Roman" w:hAnsi="Times New Roman" w:cs="Times New Roman"/>
          <w:lang w:val="en-US"/>
        </w:rPr>
      </w:pPr>
      <w:r w:rsidRPr="00974FC5">
        <w:rPr>
          <w:rFonts w:ascii="Times New Roman" w:hAnsi="Times New Roman" w:cs="Times New Roman"/>
          <w:lang w:val="en-US"/>
        </w:rPr>
        <w:t xml:space="preserve">When it comes to firms’ preferences about dividend distribution, they seem to display a rather high degree of heterogeneity. This consideration motivated the interest for this research, whose purpose is to investigate the determinants of dividend payout ratios. </w:t>
      </w:r>
    </w:p>
    <w:p w14:paraId="6F990433" w14:textId="31C7CEAE" w:rsidR="00F26201" w:rsidRPr="00974FC5" w:rsidRDefault="00F26201" w:rsidP="009F6CCE">
      <w:pPr>
        <w:spacing w:line="360" w:lineRule="auto"/>
        <w:ind w:firstLine="708"/>
        <w:jc w:val="both"/>
        <w:rPr>
          <w:rFonts w:ascii="Times New Roman" w:hAnsi="Times New Roman" w:cs="Times New Roman"/>
          <w:lang w:val="en-US"/>
        </w:rPr>
      </w:pPr>
      <w:r w:rsidRPr="00974FC5">
        <w:rPr>
          <w:rFonts w:ascii="Times New Roman" w:hAnsi="Times New Roman" w:cs="Times New Roman"/>
          <w:lang w:val="en-US"/>
        </w:rPr>
        <w:t xml:space="preserve">In order to select factors that may affect the dividend payout decisions we decided to base our investigation on those identified in two specific works. Gill, </w:t>
      </w:r>
      <w:proofErr w:type="spellStart"/>
      <w:r w:rsidRPr="00974FC5">
        <w:rPr>
          <w:rFonts w:ascii="Times New Roman" w:hAnsi="Times New Roman" w:cs="Times New Roman"/>
          <w:lang w:val="en-US"/>
        </w:rPr>
        <w:t>Biger</w:t>
      </w:r>
      <w:proofErr w:type="spellEnd"/>
      <w:r w:rsidRPr="00974FC5">
        <w:rPr>
          <w:rFonts w:ascii="Times New Roman" w:hAnsi="Times New Roman" w:cs="Times New Roman"/>
          <w:lang w:val="en-US"/>
        </w:rPr>
        <w:t xml:space="preserve"> and </w:t>
      </w:r>
      <w:proofErr w:type="spellStart"/>
      <w:r w:rsidRPr="00974FC5">
        <w:rPr>
          <w:rFonts w:ascii="Times New Roman" w:hAnsi="Times New Roman" w:cs="Times New Roman"/>
          <w:lang w:val="en-US"/>
        </w:rPr>
        <w:t>Tibrewala</w:t>
      </w:r>
      <w:proofErr w:type="spellEnd"/>
      <w:r w:rsidRPr="00974FC5">
        <w:rPr>
          <w:rFonts w:ascii="Times New Roman" w:hAnsi="Times New Roman" w:cs="Times New Roman"/>
          <w:lang w:val="en-US"/>
        </w:rPr>
        <w:t xml:space="preserve"> (2010) base their analysis on American service and manufacturing firms. Looking at the results, they find that the dividend payout ratio is a function of profit margin, sales growth, debt-to-equity ratio, and tax. The study conducted by </w:t>
      </w:r>
      <w:proofErr w:type="spellStart"/>
      <w:r w:rsidRPr="00974FC5">
        <w:rPr>
          <w:rFonts w:ascii="Times New Roman" w:hAnsi="Times New Roman" w:cs="Times New Roman"/>
          <w:lang w:val="en-US"/>
        </w:rPr>
        <w:t>Arif</w:t>
      </w:r>
      <w:proofErr w:type="spellEnd"/>
      <w:r w:rsidRPr="00974FC5">
        <w:rPr>
          <w:rFonts w:ascii="Times New Roman" w:hAnsi="Times New Roman" w:cs="Times New Roman"/>
          <w:lang w:val="en-US"/>
        </w:rPr>
        <w:t xml:space="preserve"> and Akbar (2013) on non-financial sector of Pakistan identifies profitability, tax and size as most influential determinants of dividend policy. </w:t>
      </w:r>
    </w:p>
    <w:p w14:paraId="55BAFEF0" w14:textId="059665FF" w:rsidR="00911565" w:rsidRDefault="00F26201" w:rsidP="009F6CCE">
      <w:pPr>
        <w:spacing w:line="360" w:lineRule="auto"/>
        <w:ind w:firstLine="708"/>
        <w:jc w:val="both"/>
        <w:rPr>
          <w:rFonts w:ascii="Times New Roman" w:hAnsi="Times New Roman" w:cs="Times New Roman"/>
          <w:lang w:val="en-US"/>
        </w:rPr>
      </w:pPr>
      <w:r w:rsidRPr="00974FC5">
        <w:rPr>
          <w:rFonts w:ascii="Times New Roman" w:hAnsi="Times New Roman" w:cs="Times New Roman"/>
          <w:lang w:val="en-US"/>
        </w:rPr>
        <w:t>Based on the papers just mentioned, we run panel OLS regressions in order to test the significance of the following factors in the determination of the dividend payout ratio</w:t>
      </w:r>
      <w:r w:rsidR="00974FC5" w:rsidRPr="00974FC5">
        <w:rPr>
          <w:rFonts w:ascii="Times New Roman" w:hAnsi="Times New Roman" w:cs="Times New Roman"/>
          <w:lang w:val="en-US"/>
        </w:rPr>
        <w:t xml:space="preserve"> (</w:t>
      </w:r>
      <w:r w:rsidR="00974FC5" w:rsidRPr="00974FC5">
        <w:rPr>
          <w:rFonts w:ascii="Times New Roman" w:hAnsi="Times New Roman" w:cs="Times New Roman"/>
          <w:i/>
          <w:lang w:val="en-US"/>
        </w:rPr>
        <w:t>DP</w:t>
      </w:r>
      <w:r w:rsidR="00974FC5" w:rsidRPr="00974FC5">
        <w:rPr>
          <w:rFonts w:ascii="Times New Roman" w:hAnsi="Times New Roman" w:cs="Times New Roman"/>
          <w:lang w:val="en-US"/>
        </w:rPr>
        <w:t>)</w:t>
      </w:r>
      <w:r w:rsidRPr="00974FC5">
        <w:rPr>
          <w:rFonts w:ascii="Times New Roman" w:hAnsi="Times New Roman" w:cs="Times New Roman"/>
          <w:lang w:val="en-US"/>
        </w:rPr>
        <w:t xml:space="preserve">: </w:t>
      </w:r>
      <w:r w:rsidR="002A364A" w:rsidRPr="00974FC5">
        <w:rPr>
          <w:rFonts w:ascii="Times New Roman" w:hAnsi="Times New Roman" w:cs="Times New Roman"/>
          <w:lang w:val="en-GB"/>
        </w:rPr>
        <w:t>ROA (</w:t>
      </w:r>
      <w:r w:rsidR="002A364A" w:rsidRPr="00974FC5">
        <w:rPr>
          <w:rFonts w:ascii="Times New Roman" w:hAnsi="Times New Roman" w:cs="Times New Roman"/>
          <w:i/>
          <w:lang w:val="en-GB"/>
        </w:rPr>
        <w:t>PROF</w:t>
      </w:r>
      <w:r w:rsidR="002A364A" w:rsidRPr="00974FC5">
        <w:rPr>
          <w:rFonts w:ascii="Times New Roman" w:hAnsi="Times New Roman" w:cs="Times New Roman"/>
          <w:lang w:val="en-GB"/>
        </w:rPr>
        <w:t xml:space="preserve">), net cash flow from </w:t>
      </w:r>
      <w:r w:rsidR="002A364A" w:rsidRPr="00974FC5">
        <w:rPr>
          <w:rFonts w:ascii="Times New Roman" w:hAnsi="Times New Roman" w:cs="Times New Roman"/>
          <w:lang w:val="en-GB"/>
        </w:rPr>
        <w:lastRenderedPageBreak/>
        <w:t>operating activities (</w:t>
      </w:r>
      <w:r w:rsidR="002A364A" w:rsidRPr="00974FC5">
        <w:rPr>
          <w:rFonts w:ascii="Times New Roman" w:hAnsi="Times New Roman" w:cs="Times New Roman"/>
          <w:i/>
          <w:lang w:val="en-GB"/>
        </w:rPr>
        <w:t>CF</w:t>
      </w:r>
      <w:r w:rsidR="002A364A" w:rsidRPr="00974FC5">
        <w:rPr>
          <w:rFonts w:ascii="Times New Roman" w:hAnsi="Times New Roman" w:cs="Times New Roman"/>
          <w:lang w:val="en-GB"/>
        </w:rPr>
        <w:t>)</w:t>
      </w:r>
      <w:r w:rsidR="002A364A" w:rsidRPr="00974FC5">
        <w:rPr>
          <w:rFonts w:ascii="Times New Roman" w:hAnsi="Times New Roman" w:cs="Times New Roman"/>
          <w:lang w:val="en-US"/>
        </w:rPr>
        <w:t>, effective tax rate (</w:t>
      </w:r>
      <w:r w:rsidR="002A364A" w:rsidRPr="00974FC5">
        <w:rPr>
          <w:rFonts w:ascii="Times New Roman" w:hAnsi="Times New Roman" w:cs="Times New Roman"/>
          <w:i/>
          <w:lang w:val="en-US"/>
        </w:rPr>
        <w:t>CORP_TAX</w:t>
      </w:r>
      <w:r w:rsidR="002A364A" w:rsidRPr="00974FC5">
        <w:rPr>
          <w:rFonts w:ascii="Times New Roman" w:hAnsi="Times New Roman" w:cs="Times New Roman"/>
          <w:lang w:val="en-US"/>
        </w:rPr>
        <w:t>)</w:t>
      </w:r>
      <w:r w:rsidRPr="00974FC5">
        <w:rPr>
          <w:rFonts w:ascii="Times New Roman" w:hAnsi="Times New Roman" w:cs="Times New Roman"/>
          <w:lang w:val="en-US"/>
        </w:rPr>
        <w:t>, sales growth</w:t>
      </w:r>
      <w:r w:rsidR="002A364A" w:rsidRPr="00974FC5">
        <w:rPr>
          <w:rFonts w:ascii="Times New Roman" w:hAnsi="Times New Roman" w:cs="Times New Roman"/>
          <w:lang w:val="en-US"/>
        </w:rPr>
        <w:t xml:space="preserve"> (</w:t>
      </w:r>
      <w:r w:rsidR="002A364A" w:rsidRPr="00974FC5">
        <w:rPr>
          <w:rFonts w:ascii="Times New Roman" w:hAnsi="Times New Roman" w:cs="Times New Roman"/>
          <w:i/>
          <w:lang w:val="en-US"/>
        </w:rPr>
        <w:t>SALES</w:t>
      </w:r>
      <w:r w:rsidR="002A364A" w:rsidRPr="00974FC5">
        <w:rPr>
          <w:rFonts w:ascii="Times New Roman" w:hAnsi="Times New Roman" w:cs="Times New Roman"/>
          <w:lang w:val="en-US"/>
        </w:rPr>
        <w:t>)</w:t>
      </w:r>
      <w:r w:rsidRPr="00974FC5">
        <w:rPr>
          <w:rFonts w:ascii="Times New Roman" w:hAnsi="Times New Roman" w:cs="Times New Roman"/>
          <w:lang w:val="en-US"/>
        </w:rPr>
        <w:t>, price-to-book ratio</w:t>
      </w:r>
      <w:r w:rsidR="002A364A" w:rsidRPr="00974FC5">
        <w:rPr>
          <w:rFonts w:ascii="Times New Roman" w:hAnsi="Times New Roman" w:cs="Times New Roman"/>
          <w:lang w:val="en-US"/>
        </w:rPr>
        <w:t xml:space="preserve"> (</w:t>
      </w:r>
      <w:r w:rsidR="002A364A" w:rsidRPr="00974FC5">
        <w:rPr>
          <w:rFonts w:ascii="Times New Roman" w:hAnsi="Times New Roman" w:cs="Times New Roman"/>
          <w:i/>
          <w:lang w:val="en-US"/>
        </w:rPr>
        <w:t>PTB</w:t>
      </w:r>
      <w:r w:rsidR="002A364A" w:rsidRPr="00974FC5">
        <w:rPr>
          <w:rFonts w:ascii="Times New Roman" w:hAnsi="Times New Roman" w:cs="Times New Roman"/>
          <w:lang w:val="en-US"/>
        </w:rPr>
        <w:t>)</w:t>
      </w:r>
      <w:r w:rsidRPr="00974FC5">
        <w:rPr>
          <w:rFonts w:ascii="Times New Roman" w:hAnsi="Times New Roman" w:cs="Times New Roman"/>
          <w:lang w:val="en-US"/>
        </w:rPr>
        <w:t>, debt-to-equity ratio</w:t>
      </w:r>
      <w:r w:rsidR="002A364A" w:rsidRPr="00974FC5">
        <w:rPr>
          <w:rFonts w:ascii="Times New Roman" w:hAnsi="Times New Roman" w:cs="Times New Roman"/>
          <w:lang w:val="en-US"/>
        </w:rPr>
        <w:t xml:space="preserve"> (</w:t>
      </w:r>
      <w:r w:rsidR="002A364A" w:rsidRPr="00974FC5">
        <w:rPr>
          <w:rFonts w:ascii="Times New Roman" w:hAnsi="Times New Roman" w:cs="Times New Roman"/>
          <w:i/>
          <w:lang w:val="en-US"/>
        </w:rPr>
        <w:t>DTE</w:t>
      </w:r>
      <w:r w:rsidR="002A364A" w:rsidRPr="00974FC5">
        <w:rPr>
          <w:rFonts w:ascii="Times New Roman" w:hAnsi="Times New Roman" w:cs="Times New Roman"/>
          <w:lang w:val="en-US"/>
        </w:rPr>
        <w:t>), total assets (</w:t>
      </w:r>
      <w:r w:rsidR="002A364A" w:rsidRPr="00974FC5">
        <w:rPr>
          <w:rFonts w:ascii="Times New Roman" w:hAnsi="Times New Roman" w:cs="Times New Roman"/>
          <w:i/>
          <w:lang w:val="en-US"/>
        </w:rPr>
        <w:t>SIZE</w:t>
      </w:r>
      <w:r w:rsidR="002A364A" w:rsidRPr="00974FC5">
        <w:rPr>
          <w:rFonts w:ascii="Times New Roman" w:hAnsi="Times New Roman" w:cs="Times New Roman"/>
          <w:lang w:val="en-US"/>
        </w:rPr>
        <w:t>)</w:t>
      </w:r>
      <w:r w:rsidRPr="00974FC5">
        <w:rPr>
          <w:rFonts w:ascii="Times New Roman" w:hAnsi="Times New Roman" w:cs="Times New Roman"/>
          <w:lang w:val="en-US"/>
        </w:rPr>
        <w:t>, life-</w:t>
      </w:r>
      <w:r w:rsidR="002A364A" w:rsidRPr="00974FC5">
        <w:rPr>
          <w:rFonts w:ascii="Times New Roman" w:hAnsi="Times New Roman" w:cs="Times New Roman"/>
          <w:lang w:val="en-US"/>
        </w:rPr>
        <w:t>cycle stage (</w:t>
      </w:r>
      <w:r w:rsidR="002A364A" w:rsidRPr="00974FC5">
        <w:rPr>
          <w:rFonts w:ascii="Times New Roman" w:hAnsi="Times New Roman" w:cs="Times New Roman"/>
          <w:i/>
          <w:lang w:val="en-US"/>
        </w:rPr>
        <w:t>LIFE_CYCLE</w:t>
      </w:r>
      <w:r w:rsidR="002A364A" w:rsidRPr="00974FC5">
        <w:rPr>
          <w:rFonts w:ascii="Times New Roman" w:hAnsi="Times New Roman" w:cs="Times New Roman"/>
          <w:lang w:val="en-US"/>
        </w:rPr>
        <w:t>). (See</w:t>
      </w:r>
      <w:r w:rsidRPr="00974FC5">
        <w:rPr>
          <w:rFonts w:ascii="Times New Roman" w:hAnsi="Times New Roman" w:cs="Times New Roman"/>
          <w:lang w:val="en-US"/>
        </w:rPr>
        <w:t xml:space="preserve"> Table 1</w:t>
      </w:r>
      <w:r w:rsidR="002A364A" w:rsidRPr="00974FC5">
        <w:rPr>
          <w:rFonts w:ascii="Times New Roman" w:hAnsi="Times New Roman" w:cs="Times New Roman"/>
          <w:lang w:val="en-US"/>
        </w:rPr>
        <w:t xml:space="preserve"> for an accurate definition of each variable</w:t>
      </w:r>
      <w:r w:rsidRPr="00974FC5">
        <w:rPr>
          <w:rFonts w:ascii="Times New Roman" w:hAnsi="Times New Roman" w:cs="Times New Roman"/>
          <w:lang w:val="en-US"/>
        </w:rPr>
        <w:t>.</w:t>
      </w:r>
      <w:r w:rsidR="002A364A" w:rsidRPr="00974FC5">
        <w:rPr>
          <w:rFonts w:ascii="Times New Roman" w:hAnsi="Times New Roman" w:cs="Times New Roman"/>
          <w:lang w:val="en-US"/>
        </w:rPr>
        <w:t>)</w:t>
      </w:r>
      <w:r w:rsidRPr="00974FC5">
        <w:rPr>
          <w:rFonts w:ascii="Times New Roman" w:hAnsi="Times New Roman" w:cs="Times New Roman"/>
          <w:lang w:val="en-US"/>
        </w:rPr>
        <w:t xml:space="preserve"> </w:t>
      </w:r>
      <w:r w:rsidR="00911565">
        <w:rPr>
          <w:rFonts w:ascii="Times New Roman" w:hAnsi="Times New Roman" w:cs="Times New Roman"/>
          <w:lang w:val="en-US"/>
        </w:rPr>
        <w:t>Throughout all our work, we assume a significance level for every test of 5%.</w:t>
      </w:r>
    </w:p>
    <w:p w14:paraId="72BC5D6B" w14:textId="01D31070" w:rsidR="00F26201" w:rsidRPr="002A364A" w:rsidRDefault="00F26201" w:rsidP="009F6CCE">
      <w:pPr>
        <w:spacing w:line="360" w:lineRule="auto"/>
        <w:ind w:firstLine="708"/>
        <w:jc w:val="both"/>
        <w:rPr>
          <w:rFonts w:ascii="Times New Roman" w:hAnsi="Times New Roman" w:cs="Times New Roman"/>
          <w:lang w:val="en-US"/>
        </w:rPr>
      </w:pPr>
      <w:r w:rsidRPr="002A364A">
        <w:rPr>
          <w:rFonts w:ascii="Times New Roman" w:hAnsi="Times New Roman" w:cs="Times New Roman"/>
          <w:lang w:val="en-US"/>
        </w:rPr>
        <w:t xml:space="preserve">The report is organized as following: Section II presents our dataset; in Section </w:t>
      </w:r>
      <w:proofErr w:type="gramStart"/>
      <w:r w:rsidRPr="002A364A">
        <w:rPr>
          <w:rFonts w:ascii="Times New Roman" w:hAnsi="Times New Roman" w:cs="Times New Roman"/>
          <w:lang w:val="en-US"/>
        </w:rPr>
        <w:t>III</w:t>
      </w:r>
      <w:proofErr w:type="gramEnd"/>
      <w:r w:rsidRPr="002A364A">
        <w:rPr>
          <w:rFonts w:ascii="Times New Roman" w:hAnsi="Times New Roman" w:cs="Times New Roman"/>
          <w:lang w:val="en-US"/>
        </w:rPr>
        <w:t xml:space="preserve"> we report the results from the OLS estimation and we perform some post estimation diagnostics; S</w:t>
      </w:r>
      <w:r w:rsidR="00911565">
        <w:rPr>
          <w:rFonts w:ascii="Times New Roman" w:hAnsi="Times New Roman" w:cs="Times New Roman"/>
          <w:lang w:val="en-US"/>
        </w:rPr>
        <w:t>ection IV concludes.</w:t>
      </w:r>
    </w:p>
    <w:p w14:paraId="3F58C6D6" w14:textId="77777777" w:rsidR="00F26201" w:rsidRPr="002A364A" w:rsidRDefault="00F26201" w:rsidP="009F6CCE">
      <w:pPr>
        <w:spacing w:line="360" w:lineRule="auto"/>
        <w:jc w:val="both"/>
        <w:rPr>
          <w:rFonts w:ascii="Times New Roman" w:hAnsi="Times New Roman" w:cs="Times New Roman"/>
          <w:lang w:val="en-US"/>
        </w:rPr>
      </w:pPr>
    </w:p>
    <w:p w14:paraId="23975911" w14:textId="5AD57AC7" w:rsidR="00F26201" w:rsidRPr="002A364A" w:rsidRDefault="00F26201" w:rsidP="009F6CCE">
      <w:pPr>
        <w:spacing w:line="360" w:lineRule="auto"/>
        <w:rPr>
          <w:rFonts w:ascii="Times New Roman" w:hAnsi="Times New Roman" w:cs="Times New Roman"/>
          <w:b/>
          <w:lang w:val="en-US"/>
        </w:rPr>
      </w:pPr>
      <w:r w:rsidRPr="002A364A">
        <w:rPr>
          <w:rFonts w:ascii="Times New Roman" w:hAnsi="Times New Roman" w:cs="Times New Roman"/>
          <w:b/>
          <w:lang w:val="en-US"/>
        </w:rPr>
        <w:t>2. DATA</w:t>
      </w:r>
    </w:p>
    <w:p w14:paraId="00409973" w14:textId="77777777" w:rsidR="00F26201" w:rsidRPr="002A364A" w:rsidRDefault="00F26201" w:rsidP="009F6CCE">
      <w:pPr>
        <w:spacing w:line="360" w:lineRule="auto"/>
        <w:rPr>
          <w:rFonts w:ascii="Times New Roman" w:hAnsi="Times New Roman" w:cs="Times New Roman"/>
          <w:lang w:val="en-US"/>
        </w:rPr>
      </w:pPr>
    </w:p>
    <w:p w14:paraId="737C07FF" w14:textId="04315144" w:rsidR="00F26201" w:rsidRPr="00797955" w:rsidRDefault="00F26201" w:rsidP="009F6CCE">
      <w:pPr>
        <w:spacing w:line="360" w:lineRule="auto"/>
        <w:rPr>
          <w:rFonts w:ascii="Times New Roman" w:hAnsi="Times New Roman" w:cs="Times New Roman"/>
          <w:b/>
          <w:lang w:val="en-US"/>
        </w:rPr>
      </w:pPr>
      <w:r w:rsidRPr="002A364A">
        <w:rPr>
          <w:rFonts w:ascii="Times New Roman" w:hAnsi="Times New Roman" w:cs="Times New Roman"/>
          <w:b/>
          <w:lang w:val="en-US"/>
        </w:rPr>
        <w:t>2.1. Data collection</w:t>
      </w:r>
    </w:p>
    <w:p w14:paraId="784BB639" w14:textId="77777777" w:rsidR="00F26201" w:rsidRPr="002A364A" w:rsidRDefault="00F26201" w:rsidP="009F6CCE">
      <w:pPr>
        <w:spacing w:line="360" w:lineRule="auto"/>
        <w:jc w:val="both"/>
        <w:rPr>
          <w:rFonts w:ascii="Times New Roman" w:hAnsi="Times New Roman" w:cs="Times New Roman"/>
          <w:lang w:val="en-US"/>
        </w:rPr>
      </w:pPr>
      <w:r w:rsidRPr="002A364A">
        <w:rPr>
          <w:rFonts w:ascii="Times New Roman" w:hAnsi="Times New Roman" w:cs="Times New Roman"/>
          <w:lang w:val="en-US"/>
        </w:rPr>
        <w:t xml:space="preserve">To conduct our study, we selected a sample of 156 firms listed in the EURONEXT for the period from 2009 to 2018. We collected the data from Thomson Reuters. In particular, we decided to select firms quoted in the EURONEXT markets of Paris, Amsterdam, Brussels and Lisbon, taking into consideration ordinary shares and active primary quotes only. </w:t>
      </w:r>
    </w:p>
    <w:p w14:paraId="4E55D1B1" w14:textId="77777777" w:rsidR="00F26201" w:rsidRDefault="00F26201" w:rsidP="009F6CCE">
      <w:pPr>
        <w:spacing w:line="360" w:lineRule="auto"/>
        <w:rPr>
          <w:rFonts w:ascii="Times New Roman" w:hAnsi="Times New Roman" w:cs="Times New Roman"/>
          <w:b/>
          <w:lang w:val="en-US"/>
        </w:rPr>
      </w:pPr>
    </w:p>
    <w:p w14:paraId="3D6D3BB7" w14:textId="5E738B5C" w:rsidR="000801F3" w:rsidRPr="00E41339" w:rsidRDefault="00F26201" w:rsidP="009F6CCE">
      <w:pPr>
        <w:spacing w:line="360" w:lineRule="auto"/>
        <w:jc w:val="both"/>
        <w:rPr>
          <w:rFonts w:ascii="Times New Roman" w:hAnsi="Times New Roman" w:cs="Times New Roman"/>
          <w:b/>
          <w:lang w:val="en-US"/>
        </w:rPr>
      </w:pPr>
      <w:r>
        <w:rPr>
          <w:rFonts w:ascii="Times New Roman" w:hAnsi="Times New Roman" w:cs="Times New Roman"/>
          <w:b/>
          <w:lang w:val="en-US"/>
        </w:rPr>
        <w:t>2</w:t>
      </w:r>
      <w:r w:rsidR="00E41339" w:rsidRPr="00E41339">
        <w:rPr>
          <w:rFonts w:ascii="Times New Roman" w:hAnsi="Times New Roman" w:cs="Times New Roman"/>
          <w:b/>
          <w:lang w:val="en-US"/>
        </w:rPr>
        <w:t>.</w:t>
      </w:r>
      <w:r>
        <w:rPr>
          <w:rFonts w:ascii="Times New Roman" w:hAnsi="Times New Roman" w:cs="Times New Roman"/>
          <w:b/>
          <w:lang w:val="en-US"/>
        </w:rPr>
        <w:t>2. Data p</w:t>
      </w:r>
      <w:r w:rsidR="00E41339" w:rsidRPr="00E41339">
        <w:rPr>
          <w:rFonts w:ascii="Times New Roman" w:hAnsi="Times New Roman" w:cs="Times New Roman"/>
          <w:b/>
          <w:lang w:val="en-US"/>
        </w:rPr>
        <w:t>reparation</w:t>
      </w:r>
    </w:p>
    <w:p w14:paraId="4DCC61BB" w14:textId="22010823" w:rsidR="00EA53B4" w:rsidRDefault="002A364A" w:rsidP="009F6CCE">
      <w:pPr>
        <w:spacing w:line="360" w:lineRule="auto"/>
        <w:jc w:val="both"/>
        <w:rPr>
          <w:rFonts w:ascii="Times New Roman" w:hAnsi="Times New Roman" w:cs="Times New Roman"/>
          <w:lang w:val="en-US"/>
        </w:rPr>
      </w:pPr>
      <w:r>
        <w:rPr>
          <w:rFonts w:ascii="Times New Roman" w:hAnsi="Times New Roman" w:cs="Times New Roman"/>
          <w:lang w:val="en-US"/>
        </w:rPr>
        <w:t>First, w</w:t>
      </w:r>
      <w:r w:rsidR="00F26201">
        <w:rPr>
          <w:rFonts w:ascii="Times New Roman" w:hAnsi="Times New Roman" w:cs="Times New Roman"/>
          <w:lang w:val="en-US"/>
        </w:rPr>
        <w:t>e drop</w:t>
      </w:r>
      <w:r w:rsidR="000801F3" w:rsidRPr="000801F3">
        <w:rPr>
          <w:rFonts w:ascii="Times New Roman" w:hAnsi="Times New Roman" w:cs="Times New Roman"/>
          <w:lang w:val="en-US"/>
        </w:rPr>
        <w:t xml:space="preserve"> missing data a</w:t>
      </w:r>
      <w:r w:rsidR="000801F3">
        <w:rPr>
          <w:rFonts w:ascii="Times New Roman" w:hAnsi="Times New Roman" w:cs="Times New Roman"/>
          <w:lang w:val="en-US"/>
        </w:rPr>
        <w:t>nd to have an overview of the dataset we plot the histogram of our sample</w:t>
      </w:r>
      <w:r w:rsidR="00E41339">
        <w:rPr>
          <w:rFonts w:ascii="Times New Roman" w:hAnsi="Times New Roman" w:cs="Times New Roman"/>
          <w:lang w:val="en-US"/>
        </w:rPr>
        <w:t xml:space="preserve"> (Figure 1)</w:t>
      </w:r>
      <w:r w:rsidR="00EA53B4">
        <w:rPr>
          <w:rFonts w:ascii="Times New Roman" w:hAnsi="Times New Roman" w:cs="Times New Roman"/>
          <w:lang w:val="en-US"/>
        </w:rPr>
        <w:t>.</w:t>
      </w:r>
      <w:r w:rsidR="00777DEB">
        <w:rPr>
          <w:rFonts w:ascii="Times New Roman" w:hAnsi="Times New Roman" w:cs="Times New Roman"/>
          <w:lang w:val="en-US"/>
        </w:rPr>
        <w:t xml:space="preserve"> </w:t>
      </w:r>
      <w:r w:rsidR="00BB741A">
        <w:rPr>
          <w:rFonts w:ascii="Times New Roman" w:hAnsi="Times New Roman" w:cs="Times New Roman"/>
          <w:lang w:val="en-US"/>
        </w:rPr>
        <w:t>T</w:t>
      </w:r>
      <w:r w:rsidR="00A6726C">
        <w:rPr>
          <w:rFonts w:ascii="Times New Roman" w:hAnsi="Times New Roman" w:cs="Times New Roman"/>
          <w:lang w:val="en-US"/>
        </w:rPr>
        <w:t>he distribution, compared to a n</w:t>
      </w:r>
      <w:r w:rsidR="00BB741A">
        <w:rPr>
          <w:rFonts w:ascii="Times New Roman" w:hAnsi="Times New Roman" w:cs="Times New Roman"/>
          <w:lang w:val="en-US"/>
        </w:rPr>
        <w:t>ormal distribution, seems skewed to the right and shows some extreme values.</w:t>
      </w:r>
    </w:p>
    <w:p w14:paraId="4454FB6D" w14:textId="11AA29A8" w:rsidR="000801F3" w:rsidRDefault="002E10CB" w:rsidP="009F6CCE">
      <w:pPr>
        <w:spacing w:line="360" w:lineRule="auto"/>
        <w:ind w:firstLine="708"/>
        <w:jc w:val="both"/>
        <w:rPr>
          <w:rFonts w:ascii="Times New Roman" w:hAnsi="Times New Roman" w:cs="Times New Roman"/>
          <w:lang w:val="en-US"/>
        </w:rPr>
      </w:pPr>
      <w:r w:rsidRPr="00A6726C">
        <w:rPr>
          <w:rFonts w:ascii="Times New Roman" w:hAnsi="Times New Roman" w:cs="Times New Roman"/>
          <w:color w:val="222222"/>
          <w:shd w:val="clear" w:color="auto" w:fill="FFFFFF"/>
          <w:lang w:val="en-US"/>
        </w:rPr>
        <w:t>T</w:t>
      </w:r>
      <w:r w:rsidR="000801F3" w:rsidRPr="00A6726C">
        <w:rPr>
          <w:rFonts w:ascii="Times New Roman" w:hAnsi="Times New Roman" w:cs="Times New Roman"/>
          <w:lang w:val="en-US"/>
        </w:rPr>
        <w:t>o reduce</w:t>
      </w:r>
      <w:r w:rsidR="000801F3" w:rsidRPr="00EA53B4">
        <w:rPr>
          <w:rFonts w:ascii="Times New Roman" w:hAnsi="Times New Roman" w:cs="Times New Roman"/>
          <w:lang w:val="en-US"/>
        </w:rPr>
        <w:t xml:space="preserve"> the effect of possible outliers, we appl</w:t>
      </w:r>
      <w:r w:rsidR="00BB741A">
        <w:rPr>
          <w:rFonts w:ascii="Times New Roman" w:hAnsi="Times New Roman" w:cs="Times New Roman"/>
          <w:lang w:val="en-US"/>
        </w:rPr>
        <w:t>y</w:t>
      </w:r>
      <w:r w:rsidR="000801F3" w:rsidRPr="00EA53B4">
        <w:rPr>
          <w:rFonts w:ascii="Times New Roman" w:hAnsi="Times New Roman" w:cs="Times New Roman"/>
          <w:lang w:val="en-US"/>
        </w:rPr>
        <w:t xml:space="preserve"> a Winsor transformation to the </w:t>
      </w:r>
      <w:r w:rsidR="00BB741A">
        <w:rPr>
          <w:rFonts w:ascii="Times New Roman" w:hAnsi="Times New Roman" w:cs="Times New Roman"/>
          <w:lang w:val="en-US"/>
        </w:rPr>
        <w:t>data</w:t>
      </w:r>
      <w:r w:rsidR="000801F3" w:rsidRPr="00EA53B4">
        <w:rPr>
          <w:rFonts w:ascii="Times New Roman" w:hAnsi="Times New Roman" w:cs="Times New Roman"/>
          <w:lang w:val="en-US"/>
        </w:rPr>
        <w:t xml:space="preserve">, limiting extreme values in the distribution. Subsequently, </w:t>
      </w:r>
      <w:r w:rsidR="00EA53B4" w:rsidRPr="00EA53B4">
        <w:rPr>
          <w:rFonts w:ascii="Times New Roman" w:hAnsi="Times New Roman" w:cs="Times New Roman"/>
          <w:lang w:val="en-US"/>
        </w:rPr>
        <w:t>since the descriptive statistics of our new variable are still</w:t>
      </w:r>
      <w:r w:rsidR="00EA53B4">
        <w:rPr>
          <w:rFonts w:ascii="Times New Roman" w:hAnsi="Times New Roman" w:cs="Times New Roman"/>
          <w:lang w:val="en-US"/>
        </w:rPr>
        <w:t xml:space="preserve"> not satisfactory, we consider it appropriate to drop extreme values beyond the minimum and the maximum</w:t>
      </w:r>
      <w:r w:rsidR="00777DEB">
        <w:rPr>
          <w:rFonts w:ascii="Times New Roman" w:hAnsi="Times New Roman" w:cs="Times New Roman"/>
          <w:lang w:val="en-US"/>
        </w:rPr>
        <w:t xml:space="preserve"> (Table</w:t>
      </w:r>
      <w:r w:rsidR="00E41339">
        <w:rPr>
          <w:rFonts w:ascii="Times New Roman" w:hAnsi="Times New Roman" w:cs="Times New Roman"/>
          <w:lang w:val="en-US"/>
        </w:rPr>
        <w:t xml:space="preserve"> 2).</w:t>
      </w:r>
    </w:p>
    <w:p w14:paraId="72FB3C8A" w14:textId="27807B08" w:rsidR="00C939CA" w:rsidRDefault="00BB741A" w:rsidP="009F6CCE">
      <w:pPr>
        <w:spacing w:line="360" w:lineRule="auto"/>
        <w:ind w:firstLine="708"/>
        <w:jc w:val="both"/>
        <w:rPr>
          <w:rFonts w:ascii="Times New Roman" w:hAnsi="Times New Roman" w:cs="Times New Roman"/>
          <w:lang w:val="en-US"/>
        </w:rPr>
      </w:pPr>
      <w:r>
        <w:rPr>
          <w:rFonts w:ascii="Times New Roman" w:hAnsi="Times New Roman" w:cs="Times New Roman"/>
          <w:lang w:val="en-US"/>
        </w:rPr>
        <w:t>Another issue affecting our sample is tha</w:t>
      </w:r>
      <w:r w:rsidR="002A364A">
        <w:rPr>
          <w:rFonts w:ascii="Times New Roman" w:hAnsi="Times New Roman" w:cs="Times New Roman"/>
          <w:lang w:val="en-US"/>
        </w:rPr>
        <w:t>t it includes the years of the financial c</w:t>
      </w:r>
      <w:r>
        <w:rPr>
          <w:rFonts w:ascii="Times New Roman" w:hAnsi="Times New Roman" w:cs="Times New Roman"/>
          <w:lang w:val="en-US"/>
        </w:rPr>
        <w:t xml:space="preserve">risis. To avoid possible biases due to the distorted data that might have been registered during the crisis, we generate a control variable that takes the value of </w:t>
      </w:r>
      <w:proofErr w:type="gramStart"/>
      <w:r>
        <w:rPr>
          <w:rFonts w:ascii="Times New Roman" w:hAnsi="Times New Roman" w:cs="Times New Roman"/>
          <w:lang w:val="en-US"/>
        </w:rPr>
        <w:t>1</w:t>
      </w:r>
      <w:proofErr w:type="gramEnd"/>
      <w:r>
        <w:rPr>
          <w:rFonts w:ascii="Times New Roman" w:hAnsi="Times New Roman" w:cs="Times New Roman"/>
          <w:lang w:val="en-US"/>
        </w:rPr>
        <w:t xml:space="preserve"> </w:t>
      </w:r>
      <w:r w:rsidR="00C939CA">
        <w:rPr>
          <w:rFonts w:ascii="Times New Roman" w:hAnsi="Times New Roman" w:cs="Times New Roman"/>
          <w:lang w:val="en-US"/>
        </w:rPr>
        <w:t>if the data refer to the year 2008 or 2009. However, such variable results non-significant</w:t>
      </w:r>
      <w:r w:rsidR="00E41339">
        <w:rPr>
          <w:rFonts w:ascii="Times New Roman" w:hAnsi="Times New Roman" w:cs="Times New Roman"/>
          <w:lang w:val="en-US"/>
        </w:rPr>
        <w:t xml:space="preserve"> since it does </w:t>
      </w:r>
      <w:r w:rsidR="00C939CA">
        <w:rPr>
          <w:rFonts w:ascii="Times New Roman" w:hAnsi="Times New Roman" w:cs="Times New Roman"/>
          <w:lang w:val="en-US"/>
        </w:rPr>
        <w:t>not relevantly influenc</w:t>
      </w:r>
      <w:r w:rsidR="00E41339">
        <w:rPr>
          <w:rFonts w:ascii="Times New Roman" w:hAnsi="Times New Roman" w:cs="Times New Roman"/>
          <w:lang w:val="en-US"/>
        </w:rPr>
        <w:t>e</w:t>
      </w:r>
      <w:r w:rsidR="00C939CA">
        <w:rPr>
          <w:rFonts w:ascii="Times New Roman" w:hAnsi="Times New Roman" w:cs="Times New Roman"/>
          <w:lang w:val="en-US"/>
        </w:rPr>
        <w:t xml:space="preserve"> our dependent variable</w:t>
      </w:r>
      <w:r w:rsidR="00777DEB">
        <w:rPr>
          <w:rFonts w:ascii="Times New Roman" w:hAnsi="Times New Roman" w:cs="Times New Roman"/>
          <w:lang w:val="en-US"/>
        </w:rPr>
        <w:t>, as reported in Table</w:t>
      </w:r>
      <w:r w:rsidR="00E41339">
        <w:rPr>
          <w:rFonts w:ascii="Times New Roman" w:hAnsi="Times New Roman" w:cs="Times New Roman"/>
          <w:lang w:val="en-US"/>
        </w:rPr>
        <w:t xml:space="preserve"> 3</w:t>
      </w:r>
      <w:r w:rsidR="00C939CA">
        <w:rPr>
          <w:rFonts w:ascii="Times New Roman" w:hAnsi="Times New Roman" w:cs="Times New Roman"/>
          <w:lang w:val="en-US"/>
        </w:rPr>
        <w:t>. For this reason</w:t>
      </w:r>
      <w:r w:rsidR="002E10CB">
        <w:rPr>
          <w:rFonts w:ascii="Times New Roman" w:hAnsi="Times New Roman" w:cs="Times New Roman"/>
          <w:lang w:val="en-US"/>
        </w:rPr>
        <w:t>,</w:t>
      </w:r>
      <w:r w:rsidR="00C939CA">
        <w:rPr>
          <w:rFonts w:ascii="Times New Roman" w:hAnsi="Times New Roman" w:cs="Times New Roman"/>
          <w:lang w:val="en-US"/>
        </w:rPr>
        <w:t xml:space="preserve"> we do not add it in the regression.</w:t>
      </w:r>
    </w:p>
    <w:p w14:paraId="41C641DB" w14:textId="16BECA34" w:rsidR="2D89229E" w:rsidRPr="00FE4310" w:rsidRDefault="2D89229E" w:rsidP="009F6CCE">
      <w:pPr>
        <w:spacing w:line="360" w:lineRule="auto"/>
        <w:ind w:firstLine="708"/>
        <w:jc w:val="both"/>
        <w:rPr>
          <w:rFonts w:ascii="Times New Roman" w:hAnsi="Times New Roman" w:cs="Times New Roman"/>
          <w:lang w:val="en-US"/>
        </w:rPr>
      </w:pPr>
      <w:r w:rsidRPr="2D89229E">
        <w:rPr>
          <w:rFonts w:ascii="Times New Roman" w:hAnsi="Times New Roman" w:cs="Times New Roman"/>
          <w:lang w:val="en-US"/>
        </w:rPr>
        <w:t xml:space="preserve">Finally, we conclude the preparation of the dataset by dropping the companies for which we have less than </w:t>
      </w:r>
      <w:proofErr w:type="gramStart"/>
      <w:r w:rsidRPr="2D89229E">
        <w:rPr>
          <w:rFonts w:ascii="Times New Roman" w:hAnsi="Times New Roman" w:cs="Times New Roman"/>
          <w:lang w:val="en-US"/>
        </w:rPr>
        <w:t>8</w:t>
      </w:r>
      <w:proofErr w:type="gramEnd"/>
      <w:r w:rsidRPr="2D89229E">
        <w:rPr>
          <w:rFonts w:ascii="Times New Roman" w:hAnsi="Times New Roman" w:cs="Times New Roman"/>
          <w:lang w:val="en-US"/>
        </w:rPr>
        <w:t xml:space="preserve"> observation. </w:t>
      </w:r>
      <w:r w:rsidR="00FE4310">
        <w:rPr>
          <w:rFonts w:ascii="Times New Roman" w:hAnsi="Times New Roman" w:cs="Times New Roman"/>
          <w:lang w:val="en-US"/>
        </w:rPr>
        <w:t xml:space="preserve">A panel </w:t>
      </w:r>
      <w:r w:rsidR="00022AE1">
        <w:rPr>
          <w:rFonts w:ascii="Times New Roman" w:hAnsi="Times New Roman" w:cs="Times New Roman"/>
          <w:lang w:val="en-US"/>
        </w:rPr>
        <w:t>dataset that is too unbalanced</w:t>
      </w:r>
      <w:r w:rsidRPr="2D89229E">
        <w:rPr>
          <w:rFonts w:ascii="Times New Roman" w:hAnsi="Times New Roman" w:cs="Times New Roman"/>
          <w:lang w:val="en-US"/>
        </w:rPr>
        <w:t xml:space="preserve"> </w:t>
      </w:r>
      <w:proofErr w:type="gramStart"/>
      <w:r w:rsidRPr="2D89229E">
        <w:rPr>
          <w:rFonts w:ascii="Times New Roman" w:hAnsi="Times New Roman" w:cs="Times New Roman"/>
          <w:lang w:val="en-US"/>
        </w:rPr>
        <w:t xml:space="preserve">might, otherwise, </w:t>
      </w:r>
      <w:r w:rsidR="00022AE1">
        <w:rPr>
          <w:rFonts w:ascii="Times New Roman" w:hAnsi="Times New Roman" w:cs="Times New Roman"/>
          <w:lang w:val="en-US"/>
        </w:rPr>
        <w:t>cause</w:t>
      </w:r>
      <w:proofErr w:type="gramEnd"/>
      <w:r w:rsidR="00022AE1">
        <w:rPr>
          <w:rFonts w:ascii="Times New Roman" w:hAnsi="Times New Roman" w:cs="Times New Roman"/>
          <w:lang w:val="en-US"/>
        </w:rPr>
        <w:t xml:space="preserve"> </w:t>
      </w:r>
      <w:r w:rsidRPr="2D89229E">
        <w:rPr>
          <w:rFonts w:ascii="Times New Roman" w:hAnsi="Times New Roman" w:cs="Times New Roman"/>
          <w:lang w:val="en-US"/>
        </w:rPr>
        <w:t>possible issues in the following analysis.</w:t>
      </w:r>
      <w:r w:rsidR="00FE4310">
        <w:rPr>
          <w:rFonts w:ascii="Times New Roman" w:hAnsi="Times New Roman" w:cs="Times New Roman"/>
          <w:lang w:val="en-US"/>
        </w:rPr>
        <w:t xml:space="preserve"> </w:t>
      </w:r>
      <w:r w:rsidRPr="2D89229E">
        <w:rPr>
          <w:rFonts w:ascii="Times New Roman" w:eastAsia="Times New Roman" w:hAnsi="Times New Roman" w:cs="Times New Roman"/>
          <w:lang w:val="en-US"/>
        </w:rPr>
        <w:t xml:space="preserve">After </w:t>
      </w:r>
      <w:proofErr w:type="spellStart"/>
      <w:r w:rsidRPr="2D89229E">
        <w:rPr>
          <w:rFonts w:ascii="Times New Roman" w:eastAsia="Times New Roman" w:hAnsi="Times New Roman" w:cs="Times New Roman"/>
          <w:lang w:val="en-US"/>
        </w:rPr>
        <w:t>winsorising</w:t>
      </w:r>
      <w:proofErr w:type="spellEnd"/>
      <w:r w:rsidRPr="2D89229E">
        <w:rPr>
          <w:rFonts w:ascii="Times New Roman" w:eastAsia="Times New Roman" w:hAnsi="Times New Roman" w:cs="Times New Roman"/>
          <w:lang w:val="en-US"/>
        </w:rPr>
        <w:t xml:space="preserve"> the dependent variable and dropping the outliers, the remaining sample includes 1408 observations from 156 firms and its distribution seems </w:t>
      </w:r>
      <w:r w:rsidR="002A364A" w:rsidRPr="002A364A">
        <w:rPr>
          <w:rFonts w:ascii="Times New Roman" w:eastAsia="Times New Roman" w:hAnsi="Times New Roman" w:cs="Times New Roman"/>
          <w:lang w:val="en-US"/>
        </w:rPr>
        <w:t>to approximate a normal more smoothly</w:t>
      </w:r>
      <w:r w:rsidRPr="2D89229E">
        <w:rPr>
          <w:rFonts w:ascii="Times New Roman" w:eastAsia="Times New Roman" w:hAnsi="Times New Roman" w:cs="Times New Roman"/>
          <w:lang w:val="en-US"/>
        </w:rPr>
        <w:t xml:space="preserve"> than the starting one, as highligh</w:t>
      </w:r>
      <w:r w:rsidR="00FE4310">
        <w:rPr>
          <w:rFonts w:ascii="Times New Roman" w:eastAsia="Times New Roman" w:hAnsi="Times New Roman" w:cs="Times New Roman"/>
          <w:lang w:val="en-US"/>
        </w:rPr>
        <w:t>ted by the histogram in Figure 2</w:t>
      </w:r>
      <w:r w:rsidRPr="2D89229E">
        <w:rPr>
          <w:rFonts w:ascii="Times New Roman" w:eastAsia="Times New Roman" w:hAnsi="Times New Roman" w:cs="Times New Roman"/>
          <w:lang w:val="en-US"/>
        </w:rPr>
        <w:t>.</w:t>
      </w:r>
    </w:p>
    <w:p w14:paraId="1DB2EA83" w14:textId="67124D50" w:rsidR="2D89229E" w:rsidRPr="00F26201" w:rsidRDefault="2D89229E" w:rsidP="009F6CCE">
      <w:pPr>
        <w:spacing w:line="360" w:lineRule="auto"/>
        <w:ind w:firstLine="708"/>
        <w:jc w:val="both"/>
        <w:rPr>
          <w:lang w:val="en-GB"/>
        </w:rPr>
      </w:pPr>
      <w:r w:rsidRPr="2D89229E">
        <w:rPr>
          <w:rFonts w:ascii="Times New Roman" w:eastAsia="Times New Roman" w:hAnsi="Times New Roman" w:cs="Times New Roman"/>
          <w:lang w:val="en-US"/>
        </w:rPr>
        <w:lastRenderedPageBreak/>
        <w:t>We acknowledge about the possible selection bias</w:t>
      </w:r>
      <w:r w:rsidR="00022AE1">
        <w:rPr>
          <w:rFonts w:ascii="Times New Roman" w:eastAsia="Times New Roman" w:hAnsi="Times New Roman" w:cs="Times New Roman"/>
          <w:lang w:val="en-US"/>
        </w:rPr>
        <w:t xml:space="preserve"> that may affect our research, b</w:t>
      </w:r>
      <w:r w:rsidRPr="2D89229E">
        <w:rPr>
          <w:rFonts w:ascii="Times New Roman" w:eastAsia="Times New Roman" w:hAnsi="Times New Roman" w:cs="Times New Roman"/>
          <w:lang w:val="en-US"/>
        </w:rPr>
        <w:t xml:space="preserve">ut the choice of dropping those observations </w:t>
      </w:r>
      <w:proofErr w:type="gramStart"/>
      <w:r w:rsidRPr="2D89229E">
        <w:rPr>
          <w:rFonts w:ascii="Times New Roman" w:eastAsia="Times New Roman" w:hAnsi="Times New Roman" w:cs="Times New Roman"/>
          <w:lang w:val="en-US"/>
        </w:rPr>
        <w:t>was made</w:t>
      </w:r>
      <w:proofErr w:type="gramEnd"/>
      <w:r w:rsidRPr="2D89229E">
        <w:rPr>
          <w:rFonts w:ascii="Times New Roman" w:eastAsia="Times New Roman" w:hAnsi="Times New Roman" w:cs="Times New Roman"/>
          <w:lang w:val="en-US"/>
        </w:rPr>
        <w:t xml:space="preserve"> necessary to consistently apply an OLS model to our data.</w:t>
      </w:r>
    </w:p>
    <w:p w14:paraId="5DAB6C7B" w14:textId="29B45DEB" w:rsidR="003724AE" w:rsidRDefault="003724AE" w:rsidP="009F6CCE">
      <w:pPr>
        <w:spacing w:line="360" w:lineRule="auto"/>
        <w:jc w:val="both"/>
        <w:rPr>
          <w:rFonts w:ascii="Times New Roman" w:hAnsi="Times New Roman" w:cs="Times New Roman"/>
          <w:lang w:val="en-US"/>
        </w:rPr>
      </w:pPr>
    </w:p>
    <w:p w14:paraId="42E0BE4B" w14:textId="17559F98" w:rsidR="002E10CB" w:rsidRPr="00E41339" w:rsidRDefault="00F26201" w:rsidP="009F6CCE">
      <w:pPr>
        <w:spacing w:line="360" w:lineRule="auto"/>
        <w:jc w:val="both"/>
        <w:rPr>
          <w:rFonts w:ascii="Times New Roman" w:hAnsi="Times New Roman" w:cs="Times New Roman"/>
          <w:b/>
          <w:lang w:val="en-US"/>
        </w:rPr>
      </w:pPr>
      <w:r>
        <w:rPr>
          <w:rFonts w:ascii="Times New Roman" w:hAnsi="Times New Roman" w:cs="Times New Roman"/>
          <w:b/>
          <w:lang w:val="en-US"/>
        </w:rPr>
        <w:t>2.3.</w:t>
      </w:r>
      <w:r w:rsidR="00E41339">
        <w:rPr>
          <w:rFonts w:ascii="Times New Roman" w:hAnsi="Times New Roman" w:cs="Times New Roman"/>
          <w:b/>
          <w:lang w:val="en-US"/>
        </w:rPr>
        <w:t xml:space="preserve"> </w:t>
      </w:r>
      <w:r>
        <w:rPr>
          <w:rFonts w:ascii="Times New Roman" w:hAnsi="Times New Roman" w:cs="Times New Roman"/>
          <w:b/>
          <w:lang w:val="en-US"/>
        </w:rPr>
        <w:t>Descriptive s</w:t>
      </w:r>
      <w:r w:rsidR="00E41339" w:rsidRPr="00E41339">
        <w:rPr>
          <w:rFonts w:ascii="Times New Roman" w:hAnsi="Times New Roman" w:cs="Times New Roman"/>
          <w:b/>
          <w:lang w:val="en-US"/>
        </w:rPr>
        <w:t>tatistics</w:t>
      </w:r>
    </w:p>
    <w:p w14:paraId="12BDF875" w14:textId="77777777" w:rsidR="002E10CB" w:rsidRDefault="00EA2763" w:rsidP="009F6CCE">
      <w:pPr>
        <w:spacing w:line="360" w:lineRule="auto"/>
        <w:jc w:val="both"/>
        <w:rPr>
          <w:rFonts w:ascii="Times New Roman" w:hAnsi="Times New Roman" w:cs="Times New Roman"/>
          <w:lang w:val="en-US"/>
        </w:rPr>
      </w:pPr>
      <w:r>
        <w:rPr>
          <w:rFonts w:ascii="Times New Roman" w:hAnsi="Times New Roman" w:cs="Times New Roman"/>
          <w:lang w:val="en-US"/>
        </w:rPr>
        <w:t xml:space="preserve">The descriptive statistics of the dependent variable shows that the skewness index has improved, even if some light right skewness is still present. The tails of the distribution do not seem problematic, since the kurtosis is below </w:t>
      </w:r>
      <w:proofErr w:type="gramStart"/>
      <w:r>
        <w:rPr>
          <w:rFonts w:ascii="Times New Roman" w:hAnsi="Times New Roman" w:cs="Times New Roman"/>
          <w:lang w:val="en-US"/>
        </w:rPr>
        <w:t>3</w:t>
      </w:r>
      <w:proofErr w:type="gramEnd"/>
      <w:r>
        <w:rPr>
          <w:rFonts w:ascii="Times New Roman" w:hAnsi="Times New Roman" w:cs="Times New Roman"/>
          <w:lang w:val="en-US"/>
        </w:rPr>
        <w:t>.</w:t>
      </w:r>
    </w:p>
    <w:p w14:paraId="6A05A809" w14:textId="779ECC9F" w:rsidR="005300E1" w:rsidRDefault="00EA2763" w:rsidP="009F6CCE">
      <w:pPr>
        <w:spacing w:line="360" w:lineRule="auto"/>
        <w:ind w:firstLine="708"/>
        <w:jc w:val="both"/>
        <w:rPr>
          <w:rFonts w:ascii="Times New Roman" w:hAnsi="Times New Roman" w:cs="Times New Roman"/>
          <w:lang w:val="en-US"/>
        </w:rPr>
      </w:pPr>
      <w:r>
        <w:rPr>
          <w:rFonts w:ascii="Times New Roman" w:hAnsi="Times New Roman" w:cs="Times New Roman"/>
          <w:lang w:val="en-US"/>
        </w:rPr>
        <w:t>Subsequently we plot a scatterplot matrix</w:t>
      </w:r>
      <w:r w:rsidR="00FE4310">
        <w:rPr>
          <w:rFonts w:ascii="Times New Roman" w:hAnsi="Times New Roman" w:cs="Times New Roman"/>
          <w:lang w:val="en-US"/>
        </w:rPr>
        <w:t xml:space="preserve"> (Figure 3</w:t>
      </w:r>
      <w:r w:rsidR="00E41339">
        <w:rPr>
          <w:rFonts w:ascii="Times New Roman" w:hAnsi="Times New Roman" w:cs="Times New Roman"/>
          <w:lang w:val="en-US"/>
        </w:rPr>
        <w:t>)</w:t>
      </w:r>
      <w:r>
        <w:rPr>
          <w:rFonts w:ascii="Times New Roman" w:hAnsi="Times New Roman" w:cs="Times New Roman"/>
          <w:lang w:val="en-US"/>
        </w:rPr>
        <w:t xml:space="preserve"> to </w:t>
      </w:r>
      <w:r w:rsidR="0078167B">
        <w:rPr>
          <w:rFonts w:ascii="Times New Roman" w:hAnsi="Times New Roman" w:cs="Times New Roman"/>
          <w:lang w:val="en-US"/>
        </w:rPr>
        <w:t>determine</w:t>
      </w:r>
      <w:r>
        <w:rPr>
          <w:rFonts w:ascii="Times New Roman" w:hAnsi="Times New Roman" w:cs="Times New Roman"/>
          <w:lang w:val="en-US"/>
        </w:rPr>
        <w:t xml:space="preserve"> possible linear correlations between the variables. </w:t>
      </w:r>
      <w:r w:rsidR="0078167B">
        <w:rPr>
          <w:rFonts w:ascii="Times New Roman" w:hAnsi="Times New Roman" w:cs="Times New Roman"/>
          <w:lang w:val="en-US"/>
        </w:rPr>
        <w:t xml:space="preserve">By looking at the </w:t>
      </w:r>
      <w:proofErr w:type="gramStart"/>
      <w:r w:rsidR="00022AE1">
        <w:rPr>
          <w:rFonts w:ascii="Times New Roman" w:hAnsi="Times New Roman" w:cs="Times New Roman"/>
          <w:lang w:val="en-US"/>
        </w:rPr>
        <w:t>plot</w:t>
      </w:r>
      <w:proofErr w:type="gramEnd"/>
      <w:r w:rsidR="0078167B">
        <w:rPr>
          <w:rFonts w:ascii="Times New Roman" w:hAnsi="Times New Roman" w:cs="Times New Roman"/>
          <w:lang w:val="en-US"/>
        </w:rPr>
        <w:t xml:space="preserve"> we can pinpoint some specific variable that might be problematic in terms of multicollinearity. More specifically, the variables </w:t>
      </w:r>
      <w:r w:rsidR="00022AE1" w:rsidRPr="00022AE1">
        <w:rPr>
          <w:rFonts w:ascii="Times New Roman" w:hAnsi="Times New Roman" w:cs="Times New Roman"/>
          <w:i/>
          <w:lang w:val="en-US"/>
        </w:rPr>
        <w:t>SIZE</w:t>
      </w:r>
      <w:r w:rsidR="00022AE1">
        <w:rPr>
          <w:rFonts w:ascii="Times New Roman" w:hAnsi="Times New Roman" w:cs="Times New Roman"/>
          <w:lang w:val="en-US"/>
        </w:rPr>
        <w:t xml:space="preserve"> and </w:t>
      </w:r>
      <w:r w:rsidR="00022AE1" w:rsidRPr="00022AE1">
        <w:rPr>
          <w:rFonts w:ascii="Times New Roman" w:hAnsi="Times New Roman" w:cs="Times New Roman"/>
          <w:i/>
          <w:lang w:val="en-US"/>
        </w:rPr>
        <w:t>CF</w:t>
      </w:r>
      <w:r w:rsidR="0078167B">
        <w:rPr>
          <w:rFonts w:ascii="Times New Roman" w:hAnsi="Times New Roman" w:cs="Times New Roman"/>
          <w:lang w:val="en-US"/>
        </w:rPr>
        <w:t xml:space="preserve"> might trigger some issue, even though we underline that this is just a rough graphical overview of our sample that still has to be tested.</w:t>
      </w:r>
    </w:p>
    <w:p w14:paraId="05790A88" w14:textId="3F3A4093" w:rsidR="00EC4AF9" w:rsidRDefault="00070C32" w:rsidP="009F6CCE">
      <w:pPr>
        <w:spacing w:line="360" w:lineRule="auto"/>
        <w:ind w:firstLine="708"/>
        <w:jc w:val="both"/>
        <w:rPr>
          <w:rFonts w:ascii="Times New Roman" w:hAnsi="Times New Roman" w:cs="Times New Roman"/>
          <w:lang w:val="en-US"/>
        </w:rPr>
      </w:pPr>
      <w:r>
        <w:rPr>
          <w:rFonts w:ascii="Times New Roman" w:hAnsi="Times New Roman" w:cs="Times New Roman"/>
          <w:lang w:val="en-US"/>
        </w:rPr>
        <w:t>To conclude the diagnostic on our data</w:t>
      </w:r>
      <w:r w:rsidR="00EC4AF9">
        <w:rPr>
          <w:rFonts w:ascii="Times New Roman" w:hAnsi="Times New Roman" w:cs="Times New Roman"/>
          <w:lang w:val="en-US"/>
        </w:rPr>
        <w:t xml:space="preserve"> and asse</w:t>
      </w:r>
      <w:r w:rsidR="0025586B">
        <w:rPr>
          <w:rFonts w:ascii="Times New Roman" w:hAnsi="Times New Roman" w:cs="Times New Roman"/>
          <w:lang w:val="en-US"/>
        </w:rPr>
        <w:t>ss whether the distribution is n</w:t>
      </w:r>
      <w:r w:rsidR="00EC4AF9">
        <w:rPr>
          <w:rFonts w:ascii="Times New Roman" w:hAnsi="Times New Roman" w:cs="Times New Roman"/>
          <w:lang w:val="en-US"/>
        </w:rPr>
        <w:t>ormal</w:t>
      </w:r>
      <w:r>
        <w:rPr>
          <w:rFonts w:ascii="Times New Roman" w:hAnsi="Times New Roman" w:cs="Times New Roman"/>
          <w:lang w:val="en-US"/>
        </w:rPr>
        <w:t xml:space="preserve">, we plot the </w:t>
      </w:r>
      <w:r w:rsidRPr="00070C32">
        <w:rPr>
          <w:rFonts w:ascii="Times New Roman" w:hAnsi="Times New Roman" w:cs="Times New Roman"/>
          <w:lang w:val="en-US"/>
        </w:rPr>
        <w:t xml:space="preserve">quantile-quantile plot (Figure </w:t>
      </w:r>
      <w:r w:rsidR="0025586B">
        <w:rPr>
          <w:rFonts w:ascii="Times New Roman" w:hAnsi="Times New Roman" w:cs="Times New Roman"/>
          <w:lang w:val="en-US"/>
        </w:rPr>
        <w:t>4</w:t>
      </w:r>
      <w:r w:rsidRPr="00070C32">
        <w:rPr>
          <w:rFonts w:ascii="Times New Roman" w:hAnsi="Times New Roman" w:cs="Times New Roman"/>
          <w:lang w:val="en-US"/>
        </w:rPr>
        <w:t>) and the normal probability plot</w:t>
      </w:r>
      <w:r>
        <w:rPr>
          <w:rFonts w:ascii="Times New Roman" w:hAnsi="Times New Roman" w:cs="Times New Roman"/>
          <w:lang w:val="en-US"/>
        </w:rPr>
        <w:t xml:space="preserve"> </w:t>
      </w:r>
      <w:r w:rsidRPr="00070C32">
        <w:rPr>
          <w:rFonts w:ascii="Times New Roman" w:hAnsi="Times New Roman" w:cs="Times New Roman"/>
          <w:lang w:val="en-US"/>
        </w:rPr>
        <w:t xml:space="preserve">(Figure </w:t>
      </w:r>
      <w:r w:rsidR="0025586B">
        <w:rPr>
          <w:rFonts w:ascii="Times New Roman" w:hAnsi="Times New Roman" w:cs="Times New Roman"/>
          <w:lang w:val="en-US"/>
        </w:rPr>
        <w:t>5</w:t>
      </w:r>
      <w:r>
        <w:rPr>
          <w:rFonts w:ascii="Times New Roman" w:hAnsi="Times New Roman" w:cs="Times New Roman"/>
          <w:lang w:val="en-US"/>
        </w:rPr>
        <w:t>)</w:t>
      </w:r>
      <w:r w:rsidR="00EC4AF9">
        <w:rPr>
          <w:rFonts w:ascii="Times New Roman" w:hAnsi="Times New Roman" w:cs="Times New Roman"/>
          <w:lang w:val="en-US"/>
        </w:rPr>
        <w:t>. The results seem con</w:t>
      </w:r>
      <w:r w:rsidR="0025586B">
        <w:rPr>
          <w:rFonts w:ascii="Times New Roman" w:hAnsi="Times New Roman" w:cs="Times New Roman"/>
          <w:lang w:val="en-US"/>
        </w:rPr>
        <w:t>sistent with the hypothesis of n</w:t>
      </w:r>
      <w:r w:rsidR="00EC4AF9">
        <w:rPr>
          <w:rFonts w:ascii="Times New Roman" w:hAnsi="Times New Roman" w:cs="Times New Roman"/>
          <w:lang w:val="en-US"/>
        </w:rPr>
        <w:t>ormality of the data.</w:t>
      </w:r>
    </w:p>
    <w:p w14:paraId="72A3D3EC" w14:textId="77777777" w:rsidR="00EC4AF9" w:rsidRDefault="00EC4AF9" w:rsidP="009F6CCE">
      <w:pPr>
        <w:spacing w:line="360" w:lineRule="auto"/>
        <w:rPr>
          <w:rFonts w:ascii="Times New Roman" w:hAnsi="Times New Roman" w:cs="Times New Roman"/>
          <w:lang w:val="en-US"/>
        </w:rPr>
      </w:pPr>
    </w:p>
    <w:p w14:paraId="52F3FA4D" w14:textId="1B789368" w:rsidR="00F26201" w:rsidRPr="0025586B" w:rsidRDefault="00F26201" w:rsidP="009F6CCE">
      <w:pPr>
        <w:spacing w:line="360" w:lineRule="auto"/>
        <w:jc w:val="both"/>
        <w:rPr>
          <w:rFonts w:ascii="Times New Roman" w:hAnsi="Times New Roman" w:cs="Times New Roman"/>
          <w:b/>
          <w:lang w:val="en-GB"/>
        </w:rPr>
      </w:pPr>
      <w:r w:rsidRPr="0025586B">
        <w:rPr>
          <w:rFonts w:ascii="Times New Roman" w:hAnsi="Times New Roman" w:cs="Times New Roman"/>
          <w:b/>
          <w:lang w:val="en-GB"/>
        </w:rPr>
        <w:t xml:space="preserve">3. </w:t>
      </w:r>
      <w:r w:rsidR="00BA47C6">
        <w:rPr>
          <w:rFonts w:ascii="Times New Roman" w:hAnsi="Times New Roman" w:cs="Times New Roman"/>
          <w:b/>
          <w:lang w:val="en-GB"/>
        </w:rPr>
        <w:t>ESTIMATION</w:t>
      </w:r>
    </w:p>
    <w:p w14:paraId="74D64026" w14:textId="77777777" w:rsidR="00F26201" w:rsidRPr="0025586B" w:rsidRDefault="00F26201" w:rsidP="009F6CCE">
      <w:pPr>
        <w:spacing w:line="360" w:lineRule="auto"/>
        <w:jc w:val="both"/>
        <w:rPr>
          <w:rFonts w:ascii="Times New Roman" w:hAnsi="Times New Roman" w:cs="Times New Roman"/>
          <w:b/>
          <w:lang w:val="en-GB"/>
        </w:rPr>
      </w:pPr>
    </w:p>
    <w:p w14:paraId="5A67EC63" w14:textId="4F603E6F" w:rsidR="00F26201" w:rsidRPr="0025586B" w:rsidRDefault="00F26201" w:rsidP="009F6CCE">
      <w:pPr>
        <w:spacing w:line="360" w:lineRule="auto"/>
        <w:jc w:val="both"/>
        <w:rPr>
          <w:rFonts w:ascii="Times New Roman" w:hAnsi="Times New Roman" w:cs="Times New Roman"/>
          <w:b/>
          <w:lang w:val="en-GB"/>
        </w:rPr>
      </w:pPr>
      <w:r w:rsidRPr="0025586B">
        <w:rPr>
          <w:rFonts w:ascii="Times New Roman" w:hAnsi="Times New Roman" w:cs="Times New Roman"/>
          <w:b/>
          <w:lang w:val="en-GB"/>
        </w:rPr>
        <w:t>3.1. Model selection</w:t>
      </w:r>
    </w:p>
    <w:p w14:paraId="5FE47219" w14:textId="31C81FDC" w:rsidR="00F26201" w:rsidRPr="0025586B" w:rsidRDefault="00F26201" w:rsidP="009F6CCE">
      <w:pPr>
        <w:spacing w:line="360" w:lineRule="auto"/>
        <w:jc w:val="both"/>
        <w:rPr>
          <w:rFonts w:ascii="Times New Roman" w:hAnsi="Times New Roman" w:cs="Times New Roman"/>
          <w:lang w:val="en-GB"/>
        </w:rPr>
      </w:pPr>
      <w:r w:rsidRPr="0025586B">
        <w:rPr>
          <w:rFonts w:ascii="Times New Roman" w:hAnsi="Times New Roman" w:cs="Times New Roman"/>
          <w:lang w:val="en-GB"/>
        </w:rPr>
        <w:t xml:space="preserve">We show the results obtained with different models in Table </w:t>
      </w:r>
      <w:r w:rsidR="0025586B">
        <w:rPr>
          <w:rFonts w:ascii="Times New Roman" w:hAnsi="Times New Roman" w:cs="Times New Roman"/>
          <w:lang w:val="en-GB"/>
        </w:rPr>
        <w:t>4</w:t>
      </w:r>
      <w:r w:rsidRPr="0025586B">
        <w:rPr>
          <w:rFonts w:ascii="Times New Roman" w:hAnsi="Times New Roman" w:cs="Times New Roman"/>
          <w:lang w:val="en-GB"/>
        </w:rPr>
        <w:t xml:space="preserve">. The model in Column (1) includes all the explanatory </w:t>
      </w:r>
      <w:r w:rsidR="0025586B">
        <w:rPr>
          <w:rFonts w:ascii="Times New Roman" w:hAnsi="Times New Roman" w:cs="Times New Roman"/>
          <w:lang w:val="en-GB"/>
        </w:rPr>
        <w:t xml:space="preserve">variables as </w:t>
      </w:r>
      <w:r w:rsidR="005A647A">
        <w:rPr>
          <w:rFonts w:ascii="Times New Roman" w:hAnsi="Times New Roman" w:cs="Times New Roman"/>
          <w:lang w:val="en-GB"/>
        </w:rPr>
        <w:t>defined in Table 1</w:t>
      </w:r>
      <w:r w:rsidRPr="0025586B">
        <w:rPr>
          <w:rFonts w:ascii="Times New Roman" w:hAnsi="Times New Roman" w:cs="Times New Roman"/>
          <w:lang w:val="en-GB"/>
        </w:rPr>
        <w:t>. The one in Column (2) excludes those causing multicollinearity issues (</w:t>
      </w:r>
      <w:r w:rsidRPr="00797955">
        <w:rPr>
          <w:rFonts w:ascii="Times New Roman" w:hAnsi="Times New Roman" w:cs="Times New Roman"/>
          <w:i/>
          <w:lang w:val="en-GB"/>
        </w:rPr>
        <w:t>PTB</w:t>
      </w:r>
      <w:r w:rsidRPr="0025586B">
        <w:rPr>
          <w:rFonts w:ascii="Times New Roman" w:hAnsi="Times New Roman" w:cs="Times New Roman"/>
          <w:lang w:val="en-GB"/>
        </w:rPr>
        <w:t xml:space="preserve"> and </w:t>
      </w:r>
      <w:r w:rsidRPr="00797955">
        <w:rPr>
          <w:rFonts w:ascii="Times New Roman" w:hAnsi="Times New Roman" w:cs="Times New Roman"/>
          <w:i/>
          <w:lang w:val="en-GB"/>
        </w:rPr>
        <w:t>SIZE</w:t>
      </w:r>
      <w:r w:rsidRPr="0025586B">
        <w:rPr>
          <w:rFonts w:ascii="Times New Roman" w:hAnsi="Times New Roman" w:cs="Times New Roman"/>
          <w:lang w:val="en-GB"/>
        </w:rPr>
        <w:t xml:space="preserve">; see Subsection </w:t>
      </w:r>
      <w:r w:rsidR="0025586B">
        <w:rPr>
          <w:rFonts w:ascii="Times New Roman" w:hAnsi="Times New Roman" w:cs="Times New Roman"/>
          <w:lang w:val="en-GB"/>
        </w:rPr>
        <w:t>3.2</w:t>
      </w:r>
      <w:r w:rsidRPr="0025586B">
        <w:rPr>
          <w:rFonts w:ascii="Times New Roman" w:hAnsi="Times New Roman" w:cs="Times New Roman"/>
          <w:lang w:val="en-GB"/>
        </w:rPr>
        <w:t>). We further dropped not significant variables (</w:t>
      </w:r>
      <w:r w:rsidRPr="00797955">
        <w:rPr>
          <w:rFonts w:ascii="Times New Roman" w:hAnsi="Times New Roman" w:cs="Times New Roman"/>
          <w:i/>
          <w:lang w:val="en-GB"/>
        </w:rPr>
        <w:t>SALES</w:t>
      </w:r>
      <w:r w:rsidRPr="0025586B">
        <w:rPr>
          <w:rFonts w:ascii="Times New Roman" w:hAnsi="Times New Roman" w:cs="Times New Roman"/>
          <w:lang w:val="en-GB"/>
        </w:rPr>
        <w:t xml:space="preserve">) to obtain Column (3), which we will take as our baseline model. In Column (4) standard errors are </w:t>
      </w:r>
      <w:proofErr w:type="spellStart"/>
      <w:r w:rsidRPr="0025586B">
        <w:rPr>
          <w:rFonts w:ascii="Times New Roman" w:hAnsi="Times New Roman" w:cs="Times New Roman"/>
          <w:lang w:val="en-GB"/>
        </w:rPr>
        <w:t>clusterised</w:t>
      </w:r>
      <w:proofErr w:type="spellEnd"/>
      <w:r w:rsidRPr="0025586B">
        <w:rPr>
          <w:rFonts w:ascii="Times New Roman" w:hAnsi="Times New Roman" w:cs="Times New Roman"/>
          <w:lang w:val="en-GB"/>
        </w:rPr>
        <w:t xml:space="preserve"> by economic sector, causing some variables to lose significance. </w:t>
      </w:r>
      <w:proofErr w:type="spellStart"/>
      <w:r w:rsidRPr="0025586B">
        <w:rPr>
          <w:rFonts w:ascii="Times New Roman" w:hAnsi="Times New Roman" w:cs="Times New Roman"/>
          <w:lang w:val="en-GB"/>
        </w:rPr>
        <w:t>Clusterising</w:t>
      </w:r>
      <w:proofErr w:type="spellEnd"/>
      <w:r w:rsidRPr="0025586B">
        <w:rPr>
          <w:rFonts w:ascii="Times New Roman" w:hAnsi="Times New Roman" w:cs="Times New Roman"/>
          <w:lang w:val="en-GB"/>
        </w:rPr>
        <w:t xml:space="preserve"> by country does not get to any significant model; therefore, we did not show that specification in the table. Column (5), Column (6), Column (7) and Column (8) display fixed effects models including, respectively, only time, only firm, both time and firm, and all the possible effects (time, firm, economic sector and country). We show the results from a random effect model in Column (9). Finally, in Column (10) we adopt Driscoll-</w:t>
      </w:r>
      <w:proofErr w:type="spellStart"/>
      <w:r w:rsidRPr="0025586B">
        <w:rPr>
          <w:rFonts w:ascii="Times New Roman" w:hAnsi="Times New Roman" w:cs="Times New Roman"/>
          <w:lang w:val="en-GB"/>
        </w:rPr>
        <w:t>Kraay</w:t>
      </w:r>
      <w:proofErr w:type="spellEnd"/>
      <w:r w:rsidRPr="0025586B">
        <w:rPr>
          <w:rFonts w:ascii="Times New Roman" w:hAnsi="Times New Roman" w:cs="Times New Roman"/>
          <w:lang w:val="en-GB"/>
        </w:rPr>
        <w:t xml:space="preserve"> standard errors to account for any cross-sectional and temporal dependence that we could not control for in the previous models.</w:t>
      </w:r>
    </w:p>
    <w:p w14:paraId="59FA04A5" w14:textId="62BFB3AC" w:rsidR="00F26201" w:rsidRPr="0025586B" w:rsidRDefault="00F26201" w:rsidP="009F6CCE">
      <w:pPr>
        <w:spacing w:line="360" w:lineRule="auto"/>
        <w:ind w:firstLine="708"/>
        <w:jc w:val="both"/>
        <w:rPr>
          <w:rFonts w:ascii="Times New Roman" w:hAnsi="Times New Roman" w:cs="Times New Roman"/>
          <w:lang w:val="en-GB"/>
        </w:rPr>
      </w:pPr>
      <w:r w:rsidRPr="0025586B">
        <w:rPr>
          <w:rFonts w:ascii="Times New Roman" w:hAnsi="Times New Roman" w:cs="Times New Roman"/>
          <w:lang w:val="en-GB"/>
        </w:rPr>
        <w:t>The model in Column (3) shows an adjusted R-squared of 0.110. Moreover, only pooled OLS models achieve normality of residuals. Fixed effects models capture a higher fraction of the variability in the data (adjusted R-squared reaches 0.430 in the model with both time and firm effects); however, all these models fail to achieve normality of res</w:t>
      </w:r>
      <w:r w:rsidR="00797955">
        <w:rPr>
          <w:rFonts w:ascii="Times New Roman" w:hAnsi="Times New Roman" w:cs="Times New Roman"/>
          <w:lang w:val="en-GB"/>
        </w:rPr>
        <w:t xml:space="preserve">iduals (see Subsection 3.2). </w:t>
      </w:r>
      <w:r w:rsidR="002C7C92">
        <w:rPr>
          <w:rFonts w:ascii="Times New Roman" w:hAnsi="Times New Roman" w:cs="Times New Roman"/>
          <w:lang w:val="en-GB"/>
        </w:rPr>
        <w:t xml:space="preserve">It is </w:t>
      </w:r>
      <w:r w:rsidRPr="0025586B">
        <w:rPr>
          <w:rFonts w:ascii="Times New Roman" w:hAnsi="Times New Roman" w:cs="Times New Roman"/>
          <w:lang w:val="en-GB"/>
        </w:rPr>
        <w:t xml:space="preserve">important to underline that the non-normality of residuals implies that the model with fixed effect is inadequate to represent our data. Consequently, the </w:t>
      </w:r>
      <w:r w:rsidRPr="0025586B">
        <w:rPr>
          <w:rFonts w:ascii="Times New Roman" w:hAnsi="Times New Roman" w:cs="Times New Roman"/>
          <w:lang w:val="en-GB"/>
        </w:rPr>
        <w:lastRenderedPageBreak/>
        <w:t xml:space="preserve">results obtained from the analysis of such models do not have a great degree of reliability.  Therefore, we feel more confident in taking the model in Column (3) as baseline, since it ensures BLUE properties of OLS estimator. </w:t>
      </w:r>
    </w:p>
    <w:p w14:paraId="6791066E" w14:textId="77777777" w:rsidR="00F26201" w:rsidRPr="0025586B" w:rsidRDefault="00F26201" w:rsidP="009F6CCE">
      <w:pPr>
        <w:spacing w:line="360" w:lineRule="auto"/>
        <w:ind w:firstLine="708"/>
        <w:jc w:val="both"/>
        <w:rPr>
          <w:rFonts w:ascii="Times New Roman" w:hAnsi="Times New Roman" w:cs="Times New Roman"/>
          <w:lang w:val="en-GB"/>
        </w:rPr>
      </w:pPr>
      <w:r w:rsidRPr="0025586B">
        <w:rPr>
          <w:rFonts w:ascii="Times New Roman" w:hAnsi="Times New Roman" w:cs="Times New Roman"/>
          <w:lang w:val="en-GB"/>
        </w:rPr>
        <w:t xml:space="preserve">Nevertheless, we observe a few interesting features of fixed effects models. The contribution of this estimation method mainly comes from the individual firm fixed effect. When moving from the model in Column (5) (only time effects) to that in Column (6) (only firm effects), we see a big improvement in the adjusted R-squared; adding economic sector and country effects does not improve further the goodness-of-fit. This suggests including firm fixed effects captures more adequately time-invariant heterogeneity in our data. Furthermore, </w:t>
      </w:r>
      <w:r w:rsidRPr="00797955">
        <w:rPr>
          <w:rFonts w:ascii="Times New Roman" w:hAnsi="Times New Roman" w:cs="Times New Roman"/>
          <w:i/>
          <w:lang w:val="en-GB"/>
        </w:rPr>
        <w:t>CF</w:t>
      </w:r>
      <w:r w:rsidRPr="0025586B">
        <w:rPr>
          <w:rFonts w:ascii="Times New Roman" w:hAnsi="Times New Roman" w:cs="Times New Roman"/>
          <w:lang w:val="en-GB"/>
        </w:rPr>
        <w:t xml:space="preserve"> and </w:t>
      </w:r>
      <w:r w:rsidRPr="00797955">
        <w:rPr>
          <w:rFonts w:ascii="Times New Roman" w:hAnsi="Times New Roman" w:cs="Times New Roman"/>
          <w:i/>
          <w:lang w:val="en-GB"/>
        </w:rPr>
        <w:t>CORP_TAX</w:t>
      </w:r>
      <w:r w:rsidRPr="0025586B">
        <w:rPr>
          <w:rFonts w:ascii="Times New Roman" w:hAnsi="Times New Roman" w:cs="Times New Roman"/>
          <w:lang w:val="en-GB"/>
        </w:rPr>
        <w:t xml:space="preserve"> become not significant anymore, while </w:t>
      </w:r>
      <w:r w:rsidRPr="00797955">
        <w:rPr>
          <w:rFonts w:ascii="Times New Roman" w:hAnsi="Times New Roman" w:cs="Times New Roman"/>
          <w:i/>
          <w:lang w:val="en-GB"/>
        </w:rPr>
        <w:t>PROF</w:t>
      </w:r>
      <w:r w:rsidRPr="0025586B">
        <w:rPr>
          <w:rFonts w:ascii="Times New Roman" w:hAnsi="Times New Roman" w:cs="Times New Roman"/>
          <w:lang w:val="en-GB"/>
        </w:rPr>
        <w:t xml:space="preserve"> strikingly changes from a positive to a negative sign. This means </w:t>
      </w:r>
      <w:r w:rsidRPr="00797955">
        <w:rPr>
          <w:rFonts w:ascii="Times New Roman" w:hAnsi="Times New Roman" w:cs="Times New Roman"/>
          <w:i/>
          <w:lang w:val="en-GB"/>
        </w:rPr>
        <w:t>PROF</w:t>
      </w:r>
      <w:r w:rsidRPr="0025586B">
        <w:rPr>
          <w:rFonts w:ascii="Times New Roman" w:hAnsi="Times New Roman" w:cs="Times New Roman"/>
          <w:lang w:val="en-GB"/>
        </w:rPr>
        <w:t xml:space="preserve"> has a positive </w:t>
      </w:r>
      <w:r w:rsidRPr="0025586B">
        <w:rPr>
          <w:rFonts w:ascii="Times New Roman" w:hAnsi="Times New Roman" w:cs="Times New Roman"/>
          <w:i/>
          <w:lang w:val="en-GB"/>
        </w:rPr>
        <w:t>overall</w:t>
      </w:r>
      <w:r w:rsidRPr="0025586B">
        <w:rPr>
          <w:rFonts w:ascii="Times New Roman" w:hAnsi="Times New Roman" w:cs="Times New Roman"/>
          <w:lang w:val="en-GB"/>
        </w:rPr>
        <w:t xml:space="preserve"> impact on the dependent variable, but a negative </w:t>
      </w:r>
      <w:r w:rsidRPr="0025586B">
        <w:rPr>
          <w:rFonts w:ascii="Times New Roman" w:hAnsi="Times New Roman" w:cs="Times New Roman"/>
          <w:i/>
          <w:lang w:val="en-GB"/>
        </w:rPr>
        <w:t>within group</w:t>
      </w:r>
      <w:r w:rsidRPr="0025586B">
        <w:rPr>
          <w:rFonts w:ascii="Times New Roman" w:hAnsi="Times New Roman" w:cs="Times New Roman"/>
          <w:lang w:val="en-GB"/>
        </w:rPr>
        <w:t xml:space="preserve"> impact (i.e. when controlling for unobserved time-invariant heterogeneity across firms).</w:t>
      </w:r>
    </w:p>
    <w:p w14:paraId="41B097A8" w14:textId="77777777" w:rsidR="00F26201" w:rsidRDefault="00F26201" w:rsidP="009F6CCE">
      <w:pPr>
        <w:spacing w:line="360" w:lineRule="auto"/>
        <w:ind w:firstLine="708"/>
        <w:jc w:val="both"/>
        <w:rPr>
          <w:rFonts w:ascii="Times New Roman" w:hAnsi="Times New Roman" w:cs="Times New Roman"/>
          <w:lang w:val="en-GB"/>
        </w:rPr>
      </w:pPr>
      <w:r w:rsidRPr="0025586B">
        <w:rPr>
          <w:rFonts w:ascii="Times New Roman" w:hAnsi="Times New Roman" w:cs="Times New Roman"/>
          <w:lang w:val="en-GB"/>
        </w:rPr>
        <w:t>Finally, many variables in the random effects model are not significant. Indeed, we will confirm the dominance of fixed effects models in the next subsection.</w:t>
      </w:r>
    </w:p>
    <w:p w14:paraId="7BBBC42F" w14:textId="77777777" w:rsidR="00797955" w:rsidRPr="0025586B" w:rsidRDefault="00797955" w:rsidP="009F6CCE">
      <w:pPr>
        <w:spacing w:line="360" w:lineRule="auto"/>
        <w:jc w:val="both"/>
        <w:rPr>
          <w:rFonts w:ascii="Times New Roman" w:hAnsi="Times New Roman" w:cs="Times New Roman"/>
          <w:lang w:val="en-GB"/>
        </w:rPr>
      </w:pPr>
    </w:p>
    <w:p w14:paraId="2EB6DEE0" w14:textId="7B170DEE" w:rsidR="00F26201" w:rsidRPr="0025586B" w:rsidRDefault="00F26201" w:rsidP="009F6CCE">
      <w:pPr>
        <w:spacing w:line="360" w:lineRule="auto"/>
        <w:jc w:val="both"/>
        <w:rPr>
          <w:rFonts w:ascii="Times New Roman" w:hAnsi="Times New Roman" w:cs="Times New Roman"/>
          <w:b/>
          <w:lang w:val="en-GB"/>
        </w:rPr>
      </w:pPr>
      <w:r w:rsidRPr="0025586B">
        <w:rPr>
          <w:rFonts w:ascii="Times New Roman" w:hAnsi="Times New Roman" w:cs="Times New Roman"/>
          <w:b/>
          <w:lang w:val="en-GB"/>
        </w:rPr>
        <w:t>3.2. Post-estimation diagnostics</w:t>
      </w:r>
    </w:p>
    <w:p w14:paraId="2D8DFC57" w14:textId="75D3ABE5" w:rsidR="00F26201" w:rsidRPr="0025586B" w:rsidRDefault="00F26201" w:rsidP="009F6CCE">
      <w:pPr>
        <w:spacing w:line="360" w:lineRule="auto"/>
        <w:jc w:val="both"/>
        <w:rPr>
          <w:rFonts w:ascii="Times New Roman" w:hAnsi="Times New Roman" w:cs="Times New Roman"/>
          <w:lang w:val="en-GB"/>
        </w:rPr>
      </w:pPr>
      <w:r w:rsidRPr="0025586B">
        <w:rPr>
          <w:rFonts w:ascii="Times New Roman" w:hAnsi="Times New Roman" w:cs="Times New Roman"/>
          <w:lang w:val="en-GB"/>
        </w:rPr>
        <w:t>First, we show the consistency of our</w:t>
      </w:r>
      <w:r w:rsidR="00797955">
        <w:rPr>
          <w:rFonts w:ascii="Times New Roman" w:hAnsi="Times New Roman" w:cs="Times New Roman"/>
          <w:lang w:val="en-GB"/>
        </w:rPr>
        <w:t xml:space="preserve"> baseline model by reporting some</w:t>
      </w:r>
      <w:r w:rsidRPr="0025586B">
        <w:rPr>
          <w:rFonts w:ascii="Times New Roman" w:hAnsi="Times New Roman" w:cs="Times New Roman"/>
          <w:lang w:val="en-GB"/>
        </w:rPr>
        <w:t xml:space="preserve"> gr</w:t>
      </w:r>
      <w:r w:rsidR="00797955">
        <w:rPr>
          <w:rFonts w:ascii="Times New Roman" w:hAnsi="Times New Roman" w:cs="Times New Roman"/>
          <w:lang w:val="en-GB"/>
        </w:rPr>
        <w:t xml:space="preserve">aphs </w:t>
      </w:r>
      <w:r w:rsidR="00911565">
        <w:rPr>
          <w:rFonts w:ascii="Times New Roman" w:hAnsi="Times New Roman" w:cs="Times New Roman"/>
          <w:lang w:val="en-GB"/>
        </w:rPr>
        <w:t>(Figures 6 and 7</w:t>
      </w:r>
      <w:r w:rsidR="00797955">
        <w:rPr>
          <w:rFonts w:ascii="Times New Roman" w:hAnsi="Times New Roman" w:cs="Times New Roman"/>
          <w:lang w:val="en-GB"/>
        </w:rPr>
        <w:t xml:space="preserve">) and tests on the residuals. </w:t>
      </w:r>
      <w:r w:rsidRPr="0025586B">
        <w:rPr>
          <w:rFonts w:ascii="Times New Roman" w:hAnsi="Times New Roman" w:cs="Times New Roman"/>
          <w:lang w:val="en-GB"/>
        </w:rPr>
        <w:t xml:space="preserve">The Shapiro-Wilk test fails to reject the null hypothesis of normality of residuals (Table </w:t>
      </w:r>
      <w:r w:rsidR="00911565">
        <w:rPr>
          <w:rFonts w:ascii="Times New Roman" w:hAnsi="Times New Roman" w:cs="Times New Roman"/>
          <w:lang w:val="en-GB"/>
        </w:rPr>
        <w:t>5</w:t>
      </w:r>
      <w:r w:rsidRPr="0025586B">
        <w:rPr>
          <w:rFonts w:ascii="Times New Roman" w:hAnsi="Times New Roman" w:cs="Times New Roman"/>
          <w:lang w:val="en-GB"/>
        </w:rPr>
        <w:t>). Therefore, we assume BLUE properties of the OLS estimator are valid. In general, all the models we obtained by pooled OLS achieve normality of residuals.</w:t>
      </w:r>
    </w:p>
    <w:p w14:paraId="3B1654D8" w14:textId="583AF199" w:rsidR="00F26201" w:rsidRPr="0025586B" w:rsidRDefault="00F26201" w:rsidP="009F6CCE">
      <w:pPr>
        <w:spacing w:line="360" w:lineRule="auto"/>
        <w:ind w:firstLine="708"/>
        <w:jc w:val="both"/>
        <w:rPr>
          <w:rFonts w:ascii="Times New Roman" w:hAnsi="Times New Roman" w:cs="Times New Roman"/>
          <w:lang w:val="en-GB"/>
        </w:rPr>
      </w:pPr>
      <w:r w:rsidRPr="0025586B">
        <w:rPr>
          <w:rFonts w:ascii="Times New Roman" w:hAnsi="Times New Roman" w:cs="Times New Roman"/>
          <w:lang w:val="en-GB"/>
        </w:rPr>
        <w:t xml:space="preserve">We then check for multicollinearity issues among all the original explanatory variables. The correlation matrix (Table </w:t>
      </w:r>
      <w:r w:rsidR="003048E7">
        <w:rPr>
          <w:rFonts w:ascii="Times New Roman" w:hAnsi="Times New Roman" w:cs="Times New Roman"/>
          <w:lang w:val="en-GB"/>
        </w:rPr>
        <w:t>6</w:t>
      </w:r>
      <w:r w:rsidRPr="0025586B">
        <w:rPr>
          <w:rFonts w:ascii="Times New Roman" w:hAnsi="Times New Roman" w:cs="Times New Roman"/>
          <w:lang w:val="en-GB"/>
        </w:rPr>
        <w:t xml:space="preserve">) shows strong correlations between </w:t>
      </w:r>
      <w:r w:rsidRPr="005F697D">
        <w:rPr>
          <w:rFonts w:ascii="Times New Roman" w:hAnsi="Times New Roman" w:cs="Times New Roman"/>
          <w:i/>
          <w:lang w:val="en-GB"/>
        </w:rPr>
        <w:t>PROF</w:t>
      </w:r>
      <w:r w:rsidRPr="0025586B">
        <w:rPr>
          <w:rFonts w:ascii="Times New Roman" w:hAnsi="Times New Roman" w:cs="Times New Roman"/>
          <w:lang w:val="en-GB"/>
        </w:rPr>
        <w:t xml:space="preserve"> and </w:t>
      </w:r>
      <w:r w:rsidRPr="005F697D">
        <w:rPr>
          <w:rFonts w:ascii="Times New Roman" w:hAnsi="Times New Roman" w:cs="Times New Roman"/>
          <w:i/>
          <w:lang w:val="en-GB"/>
        </w:rPr>
        <w:t>PTB</w:t>
      </w:r>
      <w:r w:rsidRPr="0025586B">
        <w:rPr>
          <w:rFonts w:ascii="Times New Roman" w:hAnsi="Times New Roman" w:cs="Times New Roman"/>
          <w:lang w:val="en-GB"/>
        </w:rPr>
        <w:t xml:space="preserve"> and between </w:t>
      </w:r>
      <w:r w:rsidRPr="005F697D">
        <w:rPr>
          <w:rFonts w:ascii="Times New Roman" w:hAnsi="Times New Roman" w:cs="Times New Roman"/>
          <w:i/>
          <w:lang w:val="en-GB"/>
        </w:rPr>
        <w:t>CF</w:t>
      </w:r>
      <w:r w:rsidRPr="0025586B">
        <w:rPr>
          <w:rFonts w:ascii="Times New Roman" w:hAnsi="Times New Roman" w:cs="Times New Roman"/>
          <w:lang w:val="en-GB"/>
        </w:rPr>
        <w:t xml:space="preserve"> and </w:t>
      </w:r>
      <w:r w:rsidRPr="005F697D">
        <w:rPr>
          <w:rFonts w:ascii="Times New Roman" w:hAnsi="Times New Roman" w:cs="Times New Roman"/>
          <w:i/>
          <w:lang w:val="en-GB"/>
        </w:rPr>
        <w:t>SIZE</w:t>
      </w:r>
      <w:r w:rsidRPr="0025586B">
        <w:rPr>
          <w:rFonts w:ascii="Times New Roman" w:hAnsi="Times New Roman" w:cs="Times New Roman"/>
          <w:lang w:val="en-GB"/>
        </w:rPr>
        <w:t xml:space="preserve">, thus partially confirming our concerns. Intuitively, it makes sense these two couples to correlate. High profitability can motivate a high market value attached by investors to a stock compared to its book value. The cash flows a company can generate in absolute terms surely correlate with the absolute value of the company’s assets. Again, the VIF test in Table </w:t>
      </w:r>
      <w:r w:rsidR="003048E7">
        <w:rPr>
          <w:rFonts w:ascii="Times New Roman" w:hAnsi="Times New Roman" w:cs="Times New Roman"/>
          <w:lang w:val="en-GB"/>
        </w:rPr>
        <w:t>7</w:t>
      </w:r>
      <w:r w:rsidRPr="0025586B">
        <w:rPr>
          <w:rFonts w:ascii="Times New Roman" w:hAnsi="Times New Roman" w:cs="Times New Roman"/>
          <w:lang w:val="en-GB"/>
        </w:rPr>
        <w:t xml:space="preserve"> confirms the evidence arising from the correlation matrix. Hence, after having run the preliminary regression in Column (1), in Column (2) we dropped </w:t>
      </w:r>
      <w:r w:rsidRPr="003048E7">
        <w:rPr>
          <w:rFonts w:ascii="Times New Roman" w:hAnsi="Times New Roman" w:cs="Times New Roman"/>
          <w:i/>
          <w:lang w:val="en-GB"/>
        </w:rPr>
        <w:t>PTB</w:t>
      </w:r>
      <w:r w:rsidRPr="0025586B">
        <w:rPr>
          <w:rFonts w:ascii="Times New Roman" w:hAnsi="Times New Roman" w:cs="Times New Roman"/>
          <w:lang w:val="en-GB"/>
        </w:rPr>
        <w:t xml:space="preserve"> and SIZE, because they appear less significant than </w:t>
      </w:r>
      <w:r w:rsidRPr="003048E7">
        <w:rPr>
          <w:rFonts w:ascii="Times New Roman" w:hAnsi="Times New Roman" w:cs="Times New Roman"/>
          <w:i/>
          <w:lang w:val="en-GB"/>
        </w:rPr>
        <w:t>PROF</w:t>
      </w:r>
      <w:r w:rsidRPr="0025586B">
        <w:rPr>
          <w:rFonts w:ascii="Times New Roman" w:hAnsi="Times New Roman" w:cs="Times New Roman"/>
          <w:lang w:val="en-GB"/>
        </w:rPr>
        <w:t xml:space="preserve"> and </w:t>
      </w:r>
      <w:r w:rsidRPr="003048E7">
        <w:rPr>
          <w:rFonts w:ascii="Times New Roman" w:hAnsi="Times New Roman" w:cs="Times New Roman"/>
          <w:i/>
          <w:lang w:val="en-GB"/>
        </w:rPr>
        <w:t>CF</w:t>
      </w:r>
      <w:r w:rsidRPr="0025586B">
        <w:rPr>
          <w:rFonts w:ascii="Times New Roman" w:hAnsi="Times New Roman" w:cs="Times New Roman"/>
          <w:lang w:val="en-GB"/>
        </w:rPr>
        <w:t>, respectively.</w:t>
      </w:r>
    </w:p>
    <w:p w14:paraId="62C1C7FF" w14:textId="55A2123D" w:rsidR="00F26201" w:rsidRPr="0025586B" w:rsidRDefault="00F26201" w:rsidP="009F6CCE">
      <w:pPr>
        <w:spacing w:line="360" w:lineRule="auto"/>
        <w:ind w:firstLine="708"/>
        <w:jc w:val="both"/>
        <w:rPr>
          <w:rFonts w:ascii="Times New Roman" w:hAnsi="Times New Roman" w:cs="Times New Roman"/>
          <w:lang w:val="en-GB"/>
        </w:rPr>
      </w:pPr>
      <w:r w:rsidRPr="0025586B">
        <w:rPr>
          <w:rFonts w:ascii="Times New Roman" w:hAnsi="Times New Roman" w:cs="Times New Roman"/>
          <w:lang w:val="en-GB"/>
        </w:rPr>
        <w:t xml:space="preserve">We then run a </w:t>
      </w:r>
      <w:proofErr w:type="spellStart"/>
      <w:r w:rsidRPr="0025586B">
        <w:rPr>
          <w:rFonts w:ascii="Times New Roman" w:hAnsi="Times New Roman" w:cs="Times New Roman"/>
          <w:lang w:val="en-GB"/>
        </w:rPr>
        <w:t>Breusch</w:t>
      </w:r>
      <w:proofErr w:type="spellEnd"/>
      <w:r w:rsidR="002C7C92">
        <w:rPr>
          <w:rFonts w:ascii="Times New Roman" w:hAnsi="Times New Roman" w:cs="Times New Roman"/>
          <w:lang w:val="en-GB"/>
        </w:rPr>
        <w:t>-Pagan test on some of our</w:t>
      </w:r>
      <w:r w:rsidRPr="0025586B">
        <w:rPr>
          <w:rFonts w:ascii="Times New Roman" w:hAnsi="Times New Roman" w:cs="Times New Roman"/>
          <w:lang w:val="en-GB"/>
        </w:rPr>
        <w:t xml:space="preserve"> models. The test rejects the null hypothesis of homoscedasticity for the models estimated by pooled OLS (Table </w:t>
      </w:r>
      <w:r w:rsidR="003048E7">
        <w:rPr>
          <w:rFonts w:ascii="Times New Roman" w:hAnsi="Times New Roman" w:cs="Times New Roman"/>
          <w:lang w:val="en-GB"/>
        </w:rPr>
        <w:t>8</w:t>
      </w:r>
      <w:r w:rsidRPr="0025586B">
        <w:rPr>
          <w:rFonts w:ascii="Times New Roman" w:hAnsi="Times New Roman" w:cs="Times New Roman"/>
          <w:lang w:val="en-GB"/>
        </w:rPr>
        <w:t xml:space="preserve">), while it fails to reject for fixed effects models (Table </w:t>
      </w:r>
      <w:r w:rsidR="003048E7">
        <w:rPr>
          <w:rFonts w:ascii="Times New Roman" w:hAnsi="Times New Roman" w:cs="Times New Roman"/>
          <w:lang w:val="en-GB"/>
        </w:rPr>
        <w:t>9</w:t>
      </w:r>
      <w:r w:rsidRPr="0025586B">
        <w:rPr>
          <w:rFonts w:ascii="Times New Roman" w:hAnsi="Times New Roman" w:cs="Times New Roman"/>
          <w:lang w:val="en-GB"/>
        </w:rPr>
        <w:t>). Nevertheless, we always use robust standard errors to be consistent throughout all the models comparison.</w:t>
      </w:r>
    </w:p>
    <w:p w14:paraId="3F226032" w14:textId="50B5F1BB" w:rsidR="00F26201" w:rsidRPr="0025586B" w:rsidRDefault="00F26201" w:rsidP="009F6CCE">
      <w:pPr>
        <w:spacing w:line="360" w:lineRule="auto"/>
        <w:ind w:firstLine="708"/>
        <w:jc w:val="both"/>
        <w:rPr>
          <w:rFonts w:ascii="Times New Roman" w:hAnsi="Times New Roman" w:cs="Times New Roman"/>
          <w:lang w:val="en-GB"/>
        </w:rPr>
      </w:pPr>
      <w:r w:rsidRPr="0025586B">
        <w:rPr>
          <w:rFonts w:ascii="Times New Roman" w:hAnsi="Times New Roman" w:cs="Times New Roman"/>
          <w:lang w:val="en-GB"/>
        </w:rPr>
        <w:t xml:space="preserve">Since all the models from Column (3) to Column (10) in Table </w:t>
      </w:r>
      <w:r w:rsidR="005F697D">
        <w:rPr>
          <w:rFonts w:ascii="Times New Roman" w:hAnsi="Times New Roman" w:cs="Times New Roman"/>
          <w:lang w:val="en-GB"/>
        </w:rPr>
        <w:t>4</w:t>
      </w:r>
      <w:r w:rsidRPr="0025586B">
        <w:rPr>
          <w:rFonts w:ascii="Times New Roman" w:hAnsi="Times New Roman" w:cs="Times New Roman"/>
          <w:lang w:val="en-GB"/>
        </w:rPr>
        <w:t xml:space="preserve"> </w:t>
      </w:r>
      <w:proofErr w:type="gramStart"/>
      <w:r w:rsidRPr="0025586B">
        <w:rPr>
          <w:rFonts w:ascii="Times New Roman" w:hAnsi="Times New Roman" w:cs="Times New Roman"/>
          <w:lang w:val="en-GB"/>
        </w:rPr>
        <w:t>are based</w:t>
      </w:r>
      <w:proofErr w:type="gramEnd"/>
      <w:r w:rsidRPr="0025586B">
        <w:rPr>
          <w:rFonts w:ascii="Times New Roman" w:hAnsi="Times New Roman" w:cs="Times New Roman"/>
          <w:lang w:val="en-GB"/>
        </w:rPr>
        <w:t xml:space="preserve"> on the same explanatory variables, we perform the following tests on the independent variables on the baseline model only, the results for fixed effects models being similar. The Wald test in Table </w:t>
      </w:r>
      <w:r w:rsidR="00094B95">
        <w:rPr>
          <w:rFonts w:ascii="Times New Roman" w:hAnsi="Times New Roman" w:cs="Times New Roman"/>
          <w:lang w:val="en-GB"/>
        </w:rPr>
        <w:t>10</w:t>
      </w:r>
      <w:r w:rsidRPr="0025586B">
        <w:rPr>
          <w:rFonts w:ascii="Times New Roman" w:hAnsi="Times New Roman" w:cs="Times New Roman"/>
          <w:lang w:val="en-GB"/>
        </w:rPr>
        <w:t xml:space="preserve"> rejects the null hypothesis of the independent </w:t>
      </w:r>
      <w:r w:rsidRPr="0025586B">
        <w:rPr>
          <w:rFonts w:ascii="Times New Roman" w:hAnsi="Times New Roman" w:cs="Times New Roman"/>
          <w:lang w:val="en-GB"/>
        </w:rPr>
        <w:lastRenderedPageBreak/>
        <w:t xml:space="preserve">variables being not significant. On the other hand, the Ramsey test rejects the null hypothesis of correct specification, thus suggesting the presence of omitted variables and potential endogeneity issues (Table </w:t>
      </w:r>
      <w:r w:rsidR="00094B95">
        <w:rPr>
          <w:rFonts w:ascii="Times New Roman" w:hAnsi="Times New Roman" w:cs="Times New Roman"/>
          <w:lang w:val="en-GB"/>
        </w:rPr>
        <w:t>11</w:t>
      </w:r>
      <w:r w:rsidRPr="0025586B">
        <w:rPr>
          <w:rFonts w:ascii="Times New Roman" w:hAnsi="Times New Roman" w:cs="Times New Roman"/>
          <w:lang w:val="en-GB"/>
        </w:rPr>
        <w:t>). Nonetheless, the link test fails to reject the null hypothesis of correct specification</w:t>
      </w:r>
      <w:r w:rsidR="00094B95">
        <w:rPr>
          <w:rFonts w:ascii="Times New Roman" w:hAnsi="Times New Roman" w:cs="Times New Roman"/>
          <w:lang w:val="en-GB"/>
        </w:rPr>
        <w:t xml:space="preserve"> (Table 12)</w:t>
      </w:r>
      <w:r w:rsidRPr="0025586B">
        <w:rPr>
          <w:rFonts w:ascii="Times New Roman" w:hAnsi="Times New Roman" w:cs="Times New Roman"/>
          <w:lang w:val="en-GB"/>
        </w:rPr>
        <w:t xml:space="preserve">. While acknowledging the potential endogeneity issues that may affect our research, we decided not to investigate further these issues and assume our baseline model </w:t>
      </w:r>
      <w:proofErr w:type="gramStart"/>
      <w:r w:rsidRPr="0025586B">
        <w:rPr>
          <w:rFonts w:ascii="Times New Roman" w:hAnsi="Times New Roman" w:cs="Times New Roman"/>
          <w:lang w:val="en-GB"/>
        </w:rPr>
        <w:t>is correctly specified</w:t>
      </w:r>
      <w:proofErr w:type="gramEnd"/>
      <w:r w:rsidRPr="0025586B">
        <w:rPr>
          <w:rFonts w:ascii="Times New Roman" w:hAnsi="Times New Roman" w:cs="Times New Roman"/>
          <w:lang w:val="en-GB"/>
        </w:rPr>
        <w:t xml:space="preserve"> for three reasons. First, the two tests producing opposite results makes the decision on the potential misspecification arguable. Second, while considering dealing with endogeneity by using a diff-in-diff estimation, we also believe our research question is unsuited for the quasi-experimental approach implied by this technique (e.g. in terms of control and treatment group, division point); therefore, we drop this possibility. Third, we are still encouraged to go ahead with our baseline model because it achieves normality of residuals, thus ensuring consistency of our estimates. </w:t>
      </w:r>
    </w:p>
    <w:p w14:paraId="24D140D9" w14:textId="769E96C3" w:rsidR="00F26201" w:rsidRDefault="00F26201" w:rsidP="009F6CCE">
      <w:pPr>
        <w:spacing w:line="360" w:lineRule="auto"/>
        <w:ind w:firstLine="708"/>
        <w:jc w:val="both"/>
        <w:rPr>
          <w:rFonts w:ascii="Times New Roman" w:hAnsi="Times New Roman" w:cs="Times New Roman"/>
          <w:lang w:val="en-GB"/>
        </w:rPr>
      </w:pPr>
      <w:r w:rsidRPr="0025586B">
        <w:rPr>
          <w:rFonts w:ascii="Times New Roman" w:hAnsi="Times New Roman" w:cs="Times New Roman"/>
          <w:lang w:val="en-GB"/>
        </w:rPr>
        <w:t xml:space="preserve">Finally, we test whether fixed effects models are more appropriate than a random effects model, as we suspected from the estimation output in Table </w:t>
      </w:r>
      <w:r w:rsidR="00094B95">
        <w:rPr>
          <w:rFonts w:ascii="Times New Roman" w:hAnsi="Times New Roman" w:cs="Times New Roman"/>
          <w:lang w:val="en-GB"/>
        </w:rPr>
        <w:t>4</w:t>
      </w:r>
      <w:r w:rsidRPr="0025586B">
        <w:rPr>
          <w:rFonts w:ascii="Times New Roman" w:hAnsi="Times New Roman" w:cs="Times New Roman"/>
          <w:lang w:val="en-GB"/>
        </w:rPr>
        <w:t xml:space="preserve">. The </w:t>
      </w:r>
      <w:proofErr w:type="spellStart"/>
      <w:r w:rsidRPr="0025586B">
        <w:rPr>
          <w:rFonts w:ascii="Times New Roman" w:hAnsi="Times New Roman" w:cs="Times New Roman"/>
          <w:lang w:val="en-GB"/>
        </w:rPr>
        <w:t>Hausman</w:t>
      </w:r>
      <w:proofErr w:type="spellEnd"/>
      <w:r w:rsidRPr="0025586B">
        <w:rPr>
          <w:rFonts w:ascii="Times New Roman" w:hAnsi="Times New Roman" w:cs="Times New Roman"/>
          <w:lang w:val="en-GB"/>
        </w:rPr>
        <w:t xml:space="preserve"> test </w:t>
      </w:r>
      <w:r w:rsidR="00094B95">
        <w:rPr>
          <w:rFonts w:ascii="Times New Roman" w:hAnsi="Times New Roman" w:cs="Times New Roman"/>
          <w:lang w:val="en-GB"/>
        </w:rPr>
        <w:t xml:space="preserve">(Table 13) </w:t>
      </w:r>
      <w:r w:rsidRPr="0025586B">
        <w:rPr>
          <w:rFonts w:ascii="Times New Roman" w:hAnsi="Times New Roman" w:cs="Times New Roman"/>
          <w:lang w:val="en-GB"/>
        </w:rPr>
        <w:t>corroborates our idea, rejecting the null hypothesis of a random effects model being consistent and more efficient than a fixed effects model.</w:t>
      </w:r>
    </w:p>
    <w:p w14:paraId="40A734B6" w14:textId="77777777" w:rsidR="00911565" w:rsidRPr="0025586B" w:rsidRDefault="00911565" w:rsidP="009F6CCE">
      <w:pPr>
        <w:spacing w:line="360" w:lineRule="auto"/>
        <w:jc w:val="both"/>
        <w:rPr>
          <w:rFonts w:ascii="Times New Roman" w:hAnsi="Times New Roman" w:cs="Times New Roman"/>
          <w:lang w:val="en-GB"/>
        </w:rPr>
      </w:pPr>
    </w:p>
    <w:p w14:paraId="0AB180C7" w14:textId="116366DA" w:rsidR="00F26201" w:rsidRPr="0025586B" w:rsidRDefault="00F26201" w:rsidP="009F6CCE">
      <w:pPr>
        <w:spacing w:line="360" w:lineRule="auto"/>
        <w:jc w:val="both"/>
        <w:rPr>
          <w:rFonts w:ascii="Times New Roman" w:hAnsi="Times New Roman" w:cs="Times New Roman"/>
          <w:b/>
          <w:lang w:val="en-GB"/>
        </w:rPr>
      </w:pPr>
      <w:r w:rsidRPr="0025586B">
        <w:rPr>
          <w:rFonts w:ascii="Times New Roman" w:hAnsi="Times New Roman" w:cs="Times New Roman"/>
          <w:b/>
          <w:lang w:val="en-GB"/>
        </w:rPr>
        <w:t>3.3. Interpretation of the coefficients</w:t>
      </w:r>
    </w:p>
    <w:p w14:paraId="236BE059" w14:textId="77DFA299" w:rsidR="00F26201" w:rsidRPr="0025586B" w:rsidRDefault="00F26201" w:rsidP="009F6CCE">
      <w:pPr>
        <w:spacing w:line="360" w:lineRule="auto"/>
        <w:jc w:val="both"/>
        <w:rPr>
          <w:rFonts w:ascii="Times New Roman" w:hAnsi="Times New Roman" w:cs="Times New Roman"/>
          <w:lang w:val="en-GB"/>
        </w:rPr>
      </w:pPr>
      <w:r w:rsidRPr="0025586B">
        <w:rPr>
          <w:rFonts w:ascii="Times New Roman" w:hAnsi="Times New Roman" w:cs="Times New Roman"/>
          <w:lang w:val="en-GB"/>
        </w:rPr>
        <w:t xml:space="preserve">Once we have validated the statistical significance and the consistency of our baseline model, in this last subsection we provide a few observations about the empirical results we get from its estimation, as presented in Column (3) of Table </w:t>
      </w:r>
      <w:r w:rsidR="00094B95">
        <w:rPr>
          <w:rFonts w:ascii="Times New Roman" w:hAnsi="Times New Roman" w:cs="Times New Roman"/>
          <w:lang w:val="en-GB"/>
        </w:rPr>
        <w:t>4</w:t>
      </w:r>
      <w:r w:rsidRPr="0025586B">
        <w:rPr>
          <w:rFonts w:ascii="Times New Roman" w:hAnsi="Times New Roman" w:cs="Times New Roman"/>
          <w:lang w:val="en-GB"/>
        </w:rPr>
        <w:t xml:space="preserve">. The reader can find the interpretation for each coefficient in Table </w:t>
      </w:r>
      <w:r w:rsidR="00094B95">
        <w:rPr>
          <w:rFonts w:ascii="Times New Roman" w:hAnsi="Times New Roman" w:cs="Times New Roman"/>
          <w:lang w:val="en-GB"/>
        </w:rPr>
        <w:t>14</w:t>
      </w:r>
      <w:r w:rsidRPr="0025586B">
        <w:rPr>
          <w:rFonts w:ascii="Times New Roman" w:hAnsi="Times New Roman" w:cs="Times New Roman"/>
          <w:lang w:val="en-GB"/>
        </w:rPr>
        <w:t>.</w:t>
      </w:r>
    </w:p>
    <w:p w14:paraId="7C8A8CB9" w14:textId="66FFB74A" w:rsidR="00F26201" w:rsidRPr="0025586B" w:rsidRDefault="00F26201" w:rsidP="009F6CCE">
      <w:pPr>
        <w:spacing w:line="360" w:lineRule="auto"/>
        <w:ind w:firstLine="708"/>
        <w:jc w:val="both"/>
        <w:rPr>
          <w:rFonts w:ascii="Times New Roman" w:hAnsi="Times New Roman" w:cs="Times New Roman"/>
          <w:lang w:val="en-GB"/>
        </w:rPr>
      </w:pPr>
      <w:r w:rsidRPr="0025586B">
        <w:rPr>
          <w:rFonts w:ascii="Times New Roman" w:hAnsi="Times New Roman" w:cs="Times New Roman"/>
          <w:lang w:val="en-GB"/>
        </w:rPr>
        <w:t>First, we find ROA (</w:t>
      </w:r>
      <w:r w:rsidRPr="009F6CCE">
        <w:rPr>
          <w:rFonts w:ascii="Times New Roman" w:hAnsi="Times New Roman" w:cs="Times New Roman"/>
          <w:i/>
          <w:lang w:val="en-GB"/>
        </w:rPr>
        <w:t>PROF</w:t>
      </w:r>
      <w:r w:rsidRPr="0025586B">
        <w:rPr>
          <w:rFonts w:ascii="Times New Roman" w:hAnsi="Times New Roman" w:cs="Times New Roman"/>
          <w:lang w:val="en-GB"/>
        </w:rPr>
        <w:t>), net cash flow from operating activities (</w:t>
      </w:r>
      <w:r w:rsidRPr="009F6CCE">
        <w:rPr>
          <w:rFonts w:ascii="Times New Roman" w:hAnsi="Times New Roman" w:cs="Times New Roman"/>
          <w:i/>
          <w:lang w:val="en-GB"/>
        </w:rPr>
        <w:t>CF</w:t>
      </w:r>
      <w:r w:rsidRPr="0025586B">
        <w:rPr>
          <w:rFonts w:ascii="Times New Roman" w:hAnsi="Times New Roman" w:cs="Times New Roman"/>
          <w:lang w:val="en-GB"/>
        </w:rPr>
        <w:t>) and debt-to-equity ratio (</w:t>
      </w:r>
      <w:r w:rsidRPr="009F6CCE">
        <w:rPr>
          <w:rFonts w:ascii="Times New Roman" w:hAnsi="Times New Roman" w:cs="Times New Roman"/>
          <w:i/>
          <w:lang w:val="en-GB"/>
        </w:rPr>
        <w:t>DTE</w:t>
      </w:r>
      <w:r w:rsidRPr="0025586B">
        <w:rPr>
          <w:rFonts w:ascii="Times New Roman" w:hAnsi="Times New Roman" w:cs="Times New Roman"/>
          <w:lang w:val="en-GB"/>
        </w:rPr>
        <w:t xml:space="preserve">) affect dividend </w:t>
      </w:r>
      <w:proofErr w:type="spellStart"/>
      <w:r w:rsidRPr="0025586B">
        <w:rPr>
          <w:rFonts w:ascii="Times New Roman" w:hAnsi="Times New Roman" w:cs="Times New Roman"/>
          <w:lang w:val="en-GB"/>
        </w:rPr>
        <w:t>payout</w:t>
      </w:r>
      <w:proofErr w:type="spellEnd"/>
      <w:r w:rsidRPr="0025586B">
        <w:rPr>
          <w:rFonts w:ascii="Times New Roman" w:hAnsi="Times New Roman" w:cs="Times New Roman"/>
          <w:lang w:val="en-GB"/>
        </w:rPr>
        <w:t xml:space="preserve"> positively. Firms that are more profitable, liquid and leveraged tend to distribute a higher fraction of earnings as dividends to common shareholders</w:t>
      </w:r>
      <w:r w:rsidR="009F6CCE">
        <w:rPr>
          <w:rFonts w:ascii="Times New Roman" w:hAnsi="Times New Roman" w:cs="Times New Roman"/>
          <w:lang w:val="en-GB"/>
        </w:rPr>
        <w:t>.</w:t>
      </w:r>
    </w:p>
    <w:p w14:paraId="6A457F9A" w14:textId="7B278DE3" w:rsidR="00F26201" w:rsidRPr="0025586B" w:rsidRDefault="00F26201" w:rsidP="009F6CCE">
      <w:pPr>
        <w:spacing w:line="360" w:lineRule="auto"/>
        <w:ind w:firstLine="708"/>
        <w:jc w:val="both"/>
        <w:rPr>
          <w:rFonts w:ascii="Times New Roman" w:hAnsi="Times New Roman" w:cs="Times New Roman"/>
          <w:color w:val="000000" w:themeColor="text1"/>
          <w:lang w:val="en-GB"/>
        </w:rPr>
      </w:pPr>
      <w:r w:rsidRPr="0025586B">
        <w:rPr>
          <w:rFonts w:ascii="Times New Roman" w:hAnsi="Times New Roman" w:cs="Times New Roman"/>
          <w:lang w:val="en-GB"/>
        </w:rPr>
        <w:t>On the other hand, the effective tax rate (</w:t>
      </w:r>
      <w:r w:rsidRPr="009F6CCE">
        <w:rPr>
          <w:rFonts w:ascii="Times New Roman" w:hAnsi="Times New Roman" w:cs="Times New Roman"/>
          <w:i/>
          <w:lang w:val="en-GB"/>
        </w:rPr>
        <w:t>CORP_TAX</w:t>
      </w:r>
      <w:r w:rsidRPr="0025586B">
        <w:rPr>
          <w:rFonts w:ascii="Times New Roman" w:hAnsi="Times New Roman" w:cs="Times New Roman"/>
          <w:lang w:val="en-GB"/>
        </w:rPr>
        <w:t>) and the ratio of retained earnings over total equity (</w:t>
      </w:r>
      <w:r w:rsidRPr="009F6CCE">
        <w:rPr>
          <w:rFonts w:ascii="Times New Roman" w:hAnsi="Times New Roman" w:cs="Times New Roman"/>
          <w:i/>
          <w:lang w:val="en-GB"/>
        </w:rPr>
        <w:t>LIFE_CYCLE</w:t>
      </w:r>
      <w:r w:rsidRPr="0025586B">
        <w:rPr>
          <w:rFonts w:ascii="Times New Roman" w:hAnsi="Times New Roman" w:cs="Times New Roman"/>
          <w:lang w:val="en-GB"/>
        </w:rPr>
        <w:t xml:space="preserve">) have a negative marginal effect on dividend </w:t>
      </w:r>
      <w:proofErr w:type="spellStart"/>
      <w:r w:rsidRPr="0025586B">
        <w:rPr>
          <w:rFonts w:ascii="Times New Roman" w:hAnsi="Times New Roman" w:cs="Times New Roman"/>
          <w:lang w:val="en-GB"/>
        </w:rPr>
        <w:t>payout</w:t>
      </w:r>
      <w:proofErr w:type="spellEnd"/>
      <w:r w:rsidRPr="0025586B">
        <w:rPr>
          <w:rFonts w:ascii="Times New Roman" w:hAnsi="Times New Roman" w:cs="Times New Roman"/>
          <w:lang w:val="en-GB"/>
        </w:rPr>
        <w:t xml:space="preserve">. Firms bearing higher taxation or more mature firms tend to distribute a lower fraction of income as dividends to their shareholders. </w:t>
      </w:r>
      <w:r w:rsidRPr="0025586B">
        <w:rPr>
          <w:rFonts w:ascii="Times New Roman" w:hAnsi="Times New Roman" w:cs="Times New Roman"/>
          <w:color w:val="000000" w:themeColor="text1"/>
          <w:lang w:val="en-GB"/>
        </w:rPr>
        <w:t xml:space="preserve">We find some support to the negative sign of this coefficient in </w:t>
      </w:r>
      <w:proofErr w:type="spellStart"/>
      <w:r w:rsidRPr="0025586B">
        <w:rPr>
          <w:rFonts w:ascii="Times New Roman" w:hAnsi="Times New Roman" w:cs="Times New Roman"/>
          <w:color w:val="000000" w:themeColor="text1"/>
          <w:lang w:val="en-GB"/>
        </w:rPr>
        <w:t>Arif</w:t>
      </w:r>
      <w:proofErr w:type="spellEnd"/>
      <w:r w:rsidRPr="0025586B">
        <w:rPr>
          <w:rFonts w:ascii="Times New Roman" w:hAnsi="Times New Roman" w:cs="Times New Roman"/>
          <w:color w:val="000000" w:themeColor="text1"/>
          <w:lang w:val="en-GB"/>
        </w:rPr>
        <w:t xml:space="preserve"> and Akbar (2013), despite their result not being significant.</w:t>
      </w:r>
    </w:p>
    <w:p w14:paraId="180F03A6" w14:textId="77777777" w:rsidR="00F26201" w:rsidRPr="0025586B" w:rsidRDefault="00F26201" w:rsidP="009F6CCE">
      <w:pPr>
        <w:spacing w:line="360" w:lineRule="auto"/>
        <w:jc w:val="both"/>
        <w:rPr>
          <w:rFonts w:ascii="Times New Roman" w:hAnsi="Times New Roman" w:cs="Times New Roman"/>
          <w:lang w:val="en-GB"/>
        </w:rPr>
      </w:pPr>
    </w:p>
    <w:p w14:paraId="130BB80C" w14:textId="59567B02" w:rsidR="00F26201" w:rsidRPr="0025586B" w:rsidRDefault="00F26201" w:rsidP="009F6CCE">
      <w:pPr>
        <w:spacing w:line="360" w:lineRule="auto"/>
        <w:jc w:val="both"/>
        <w:rPr>
          <w:rFonts w:ascii="Times New Roman" w:hAnsi="Times New Roman" w:cs="Times New Roman"/>
          <w:b/>
          <w:lang w:val="en-GB"/>
        </w:rPr>
      </w:pPr>
      <w:r w:rsidRPr="0025586B">
        <w:rPr>
          <w:rFonts w:ascii="Times New Roman" w:hAnsi="Times New Roman" w:cs="Times New Roman"/>
          <w:b/>
          <w:lang w:val="en-GB"/>
        </w:rPr>
        <w:t>4. Conclusions</w:t>
      </w:r>
    </w:p>
    <w:p w14:paraId="43A05570" w14:textId="77777777" w:rsidR="00F26201" w:rsidRPr="0025586B" w:rsidRDefault="00F26201" w:rsidP="009F6CCE">
      <w:pPr>
        <w:spacing w:line="360" w:lineRule="auto"/>
        <w:jc w:val="both"/>
        <w:rPr>
          <w:rFonts w:ascii="Times New Roman" w:hAnsi="Times New Roman" w:cs="Times New Roman"/>
          <w:lang w:val="en-GB"/>
        </w:rPr>
      </w:pPr>
      <w:r w:rsidRPr="0025586B">
        <w:rPr>
          <w:rFonts w:ascii="Times New Roman" w:hAnsi="Times New Roman" w:cs="Times New Roman"/>
          <w:lang w:val="en-GB"/>
        </w:rPr>
        <w:t xml:space="preserve">In this </w:t>
      </w:r>
      <w:proofErr w:type="gramStart"/>
      <w:r w:rsidRPr="0025586B">
        <w:rPr>
          <w:rFonts w:ascii="Times New Roman" w:hAnsi="Times New Roman" w:cs="Times New Roman"/>
          <w:lang w:val="en-GB"/>
        </w:rPr>
        <w:t>work</w:t>
      </w:r>
      <w:proofErr w:type="gramEnd"/>
      <w:r w:rsidRPr="0025586B">
        <w:rPr>
          <w:rFonts w:ascii="Times New Roman" w:hAnsi="Times New Roman" w:cs="Times New Roman"/>
          <w:lang w:val="en-GB"/>
        </w:rPr>
        <w:t xml:space="preserve"> we analysed a panel dataset of 156 listed firms from EURONEXT (Paris, Amsterdam, </w:t>
      </w:r>
      <w:proofErr w:type="spellStart"/>
      <w:r w:rsidRPr="0025586B">
        <w:rPr>
          <w:rFonts w:ascii="Times New Roman" w:hAnsi="Times New Roman" w:cs="Times New Roman"/>
          <w:lang w:val="en-GB"/>
        </w:rPr>
        <w:t>Bruxelles</w:t>
      </w:r>
      <w:proofErr w:type="spellEnd"/>
      <w:r w:rsidRPr="0025586B">
        <w:rPr>
          <w:rFonts w:ascii="Times New Roman" w:hAnsi="Times New Roman" w:cs="Times New Roman"/>
          <w:lang w:val="en-GB"/>
        </w:rPr>
        <w:t xml:space="preserve">, Lisbon) covering the period 2009 – 2018. The objective of our analysis was to identify the determinants of dividend </w:t>
      </w:r>
      <w:proofErr w:type="spellStart"/>
      <w:r w:rsidRPr="0025586B">
        <w:rPr>
          <w:rFonts w:ascii="Times New Roman" w:hAnsi="Times New Roman" w:cs="Times New Roman"/>
          <w:lang w:val="en-GB"/>
        </w:rPr>
        <w:t>payout</w:t>
      </w:r>
      <w:proofErr w:type="spellEnd"/>
      <w:r w:rsidRPr="0025586B">
        <w:rPr>
          <w:rFonts w:ascii="Times New Roman" w:hAnsi="Times New Roman" w:cs="Times New Roman"/>
          <w:lang w:val="en-GB"/>
        </w:rPr>
        <w:t xml:space="preserve">. To accomplish our research question, we adopted a pooled OLS model as baseline. In order to ensure the consistency of OLS estimation, we modelled our data to smooth the original distribution towards a normal one. </w:t>
      </w:r>
    </w:p>
    <w:p w14:paraId="78FA828D" w14:textId="570ED281" w:rsidR="00F26201" w:rsidRPr="0025586B" w:rsidRDefault="00F26201" w:rsidP="009F6CCE">
      <w:pPr>
        <w:spacing w:line="360" w:lineRule="auto"/>
        <w:ind w:firstLine="708"/>
        <w:jc w:val="both"/>
        <w:rPr>
          <w:rFonts w:ascii="Times New Roman" w:hAnsi="Times New Roman" w:cs="Times New Roman"/>
          <w:color w:val="000000" w:themeColor="text1"/>
          <w:u w:val="single"/>
          <w:lang w:val="en-GB"/>
        </w:rPr>
      </w:pPr>
      <w:r w:rsidRPr="0025586B">
        <w:rPr>
          <w:rFonts w:ascii="Times New Roman" w:hAnsi="Times New Roman" w:cs="Times New Roman"/>
          <w:lang w:val="en-GB"/>
        </w:rPr>
        <w:lastRenderedPageBreak/>
        <w:t xml:space="preserve">We found ROA, net cash flow from operating activities and debt-to-equity ratio to affect dividend </w:t>
      </w:r>
      <w:proofErr w:type="spellStart"/>
      <w:r w:rsidRPr="0025586B">
        <w:rPr>
          <w:rFonts w:ascii="Times New Roman" w:hAnsi="Times New Roman" w:cs="Times New Roman"/>
          <w:lang w:val="en-GB"/>
        </w:rPr>
        <w:t>payout</w:t>
      </w:r>
      <w:proofErr w:type="spellEnd"/>
      <w:r w:rsidRPr="0025586B">
        <w:rPr>
          <w:rFonts w:ascii="Times New Roman" w:hAnsi="Times New Roman" w:cs="Times New Roman"/>
          <w:lang w:val="en-GB"/>
        </w:rPr>
        <w:t xml:space="preserve"> positively; on the contrary, the effective tax rate and the life-cycle stage have a negative marg</w:t>
      </w:r>
      <w:r w:rsidR="002C7C92">
        <w:rPr>
          <w:rFonts w:ascii="Times New Roman" w:hAnsi="Times New Roman" w:cs="Times New Roman"/>
          <w:lang w:val="en-GB"/>
        </w:rPr>
        <w:t xml:space="preserve">inal effect on dividend </w:t>
      </w:r>
      <w:proofErr w:type="spellStart"/>
      <w:r w:rsidR="002C7C92">
        <w:rPr>
          <w:rFonts w:ascii="Times New Roman" w:hAnsi="Times New Roman" w:cs="Times New Roman"/>
          <w:lang w:val="en-GB"/>
        </w:rPr>
        <w:t>payout</w:t>
      </w:r>
      <w:proofErr w:type="spellEnd"/>
      <w:r w:rsidR="002C7C92">
        <w:rPr>
          <w:rFonts w:ascii="Times New Roman" w:hAnsi="Times New Roman" w:cs="Times New Roman"/>
          <w:lang w:val="en-GB"/>
        </w:rPr>
        <w:t>.</w:t>
      </w:r>
    </w:p>
    <w:p w14:paraId="3D6F4566" w14:textId="53340632" w:rsidR="00F26201" w:rsidRPr="0025586B" w:rsidRDefault="00F26201" w:rsidP="009F6CCE">
      <w:pPr>
        <w:spacing w:line="360" w:lineRule="auto"/>
        <w:ind w:firstLine="708"/>
        <w:jc w:val="both"/>
        <w:rPr>
          <w:rFonts w:ascii="Times New Roman" w:hAnsi="Times New Roman" w:cs="Times New Roman"/>
          <w:lang w:val="en-GB"/>
        </w:rPr>
      </w:pPr>
      <w:r w:rsidRPr="0025586B">
        <w:rPr>
          <w:rFonts w:ascii="Times New Roman" w:hAnsi="Times New Roman" w:cs="Times New Roman"/>
          <w:lang w:val="en-GB"/>
        </w:rPr>
        <w:t xml:space="preserve">We are aware of the limits of our research. We know the transformations we applied to our data are susceptible of selection bias. Moreover, we observe our model may suffer from omitted variables issues. Nevertheless, our results seem to find support from economic theories and are certainly to </w:t>
      </w:r>
      <w:proofErr w:type="gramStart"/>
      <w:r w:rsidRPr="0025586B">
        <w:rPr>
          <w:rFonts w:ascii="Times New Roman" w:hAnsi="Times New Roman" w:cs="Times New Roman"/>
          <w:lang w:val="en-GB"/>
        </w:rPr>
        <w:t>be explored</w:t>
      </w:r>
      <w:proofErr w:type="gramEnd"/>
      <w:r w:rsidRPr="0025586B">
        <w:rPr>
          <w:rFonts w:ascii="Times New Roman" w:hAnsi="Times New Roman" w:cs="Times New Roman"/>
          <w:lang w:val="en-GB"/>
        </w:rPr>
        <w:t xml:space="preserve"> in a more analytical fashion.</w:t>
      </w:r>
    </w:p>
    <w:p w14:paraId="0BC3546C" w14:textId="77777777" w:rsidR="009F6CCE" w:rsidRDefault="009F6CCE" w:rsidP="009F6CCE">
      <w:pPr>
        <w:spacing w:line="360" w:lineRule="auto"/>
        <w:rPr>
          <w:rFonts w:ascii="Times New Roman" w:hAnsi="Times New Roman" w:cs="Times New Roman"/>
          <w:b/>
          <w:lang w:val="en-GB"/>
        </w:rPr>
      </w:pPr>
      <w:r>
        <w:rPr>
          <w:rFonts w:ascii="Times New Roman" w:hAnsi="Times New Roman" w:cs="Times New Roman"/>
          <w:b/>
          <w:lang w:val="en-GB"/>
        </w:rPr>
        <w:br w:type="page"/>
      </w:r>
    </w:p>
    <w:p w14:paraId="7B3B1278" w14:textId="377B2EE8" w:rsidR="00F26201" w:rsidRPr="0025586B" w:rsidRDefault="00F26201" w:rsidP="009F6CCE">
      <w:pPr>
        <w:spacing w:line="360" w:lineRule="auto"/>
        <w:jc w:val="both"/>
        <w:rPr>
          <w:rFonts w:ascii="Times New Roman" w:hAnsi="Times New Roman" w:cs="Times New Roman"/>
          <w:b/>
          <w:lang w:val="en-GB"/>
        </w:rPr>
      </w:pPr>
      <w:r w:rsidRPr="0025586B">
        <w:rPr>
          <w:rFonts w:ascii="Times New Roman" w:hAnsi="Times New Roman" w:cs="Times New Roman"/>
          <w:b/>
          <w:lang w:val="en-GB"/>
        </w:rPr>
        <w:lastRenderedPageBreak/>
        <w:t>R</w:t>
      </w:r>
      <w:r w:rsidR="00974FC5" w:rsidRPr="0025586B">
        <w:rPr>
          <w:rFonts w:ascii="Times New Roman" w:hAnsi="Times New Roman" w:cs="Times New Roman"/>
          <w:b/>
          <w:lang w:val="en-GB"/>
        </w:rPr>
        <w:t>EFERENCES</w:t>
      </w:r>
    </w:p>
    <w:p w14:paraId="63C986DC" w14:textId="29CFBF6B" w:rsidR="00974FC5" w:rsidRPr="0025586B" w:rsidRDefault="00974FC5" w:rsidP="009F6CCE">
      <w:pPr>
        <w:spacing w:line="360" w:lineRule="auto"/>
        <w:ind w:left="720" w:hanging="720"/>
        <w:jc w:val="both"/>
        <w:rPr>
          <w:rFonts w:ascii="Times New Roman" w:hAnsi="Times New Roman" w:cs="Times New Roman"/>
          <w:lang w:val="en-GB"/>
        </w:rPr>
      </w:pPr>
      <w:proofErr w:type="spellStart"/>
      <w:r w:rsidRPr="0025586B">
        <w:rPr>
          <w:rFonts w:ascii="Times New Roman" w:hAnsi="Times New Roman" w:cs="Times New Roman"/>
          <w:lang w:val="en-GB"/>
        </w:rPr>
        <w:t>Arif</w:t>
      </w:r>
      <w:proofErr w:type="spellEnd"/>
      <w:r w:rsidRPr="0025586B">
        <w:rPr>
          <w:rFonts w:ascii="Times New Roman" w:hAnsi="Times New Roman" w:cs="Times New Roman"/>
          <w:lang w:val="en-GB"/>
        </w:rPr>
        <w:t xml:space="preserve">, A., &amp; Akbar, F. (2013). Determinants of dividend policy: a sectoral analysis from Pakistan. </w:t>
      </w:r>
      <w:r w:rsidRPr="0025586B">
        <w:rPr>
          <w:rFonts w:ascii="Times New Roman" w:hAnsi="Times New Roman" w:cs="Times New Roman"/>
          <w:i/>
          <w:iCs/>
          <w:lang w:val="en-GB"/>
        </w:rPr>
        <w:t xml:space="preserve">International Journal of Business and </w:t>
      </w:r>
      <w:proofErr w:type="spellStart"/>
      <w:r w:rsidRPr="0025586B">
        <w:rPr>
          <w:rFonts w:ascii="Times New Roman" w:hAnsi="Times New Roman" w:cs="Times New Roman"/>
          <w:i/>
          <w:iCs/>
          <w:lang w:val="en-GB"/>
        </w:rPr>
        <w:t>Behavioral</w:t>
      </w:r>
      <w:proofErr w:type="spellEnd"/>
      <w:r w:rsidRPr="0025586B">
        <w:rPr>
          <w:rFonts w:ascii="Times New Roman" w:hAnsi="Times New Roman" w:cs="Times New Roman"/>
          <w:i/>
          <w:iCs/>
          <w:lang w:val="en-GB"/>
        </w:rPr>
        <w:t xml:space="preserve"> Sciences</w:t>
      </w:r>
      <w:r w:rsidRPr="0025586B">
        <w:rPr>
          <w:rFonts w:ascii="Times New Roman" w:hAnsi="Times New Roman" w:cs="Times New Roman"/>
          <w:lang w:val="en-GB"/>
        </w:rPr>
        <w:t xml:space="preserve">, </w:t>
      </w:r>
      <w:r w:rsidRPr="0025586B">
        <w:rPr>
          <w:rFonts w:ascii="Times New Roman" w:hAnsi="Times New Roman" w:cs="Times New Roman"/>
          <w:i/>
          <w:iCs/>
          <w:lang w:val="en-GB"/>
        </w:rPr>
        <w:t>3</w:t>
      </w:r>
      <w:r w:rsidRPr="0025586B">
        <w:rPr>
          <w:rFonts w:ascii="Times New Roman" w:hAnsi="Times New Roman" w:cs="Times New Roman"/>
          <w:lang w:val="en-GB"/>
        </w:rPr>
        <w:t>(9), 16-33.</w:t>
      </w:r>
    </w:p>
    <w:p w14:paraId="49629443" w14:textId="77777777" w:rsidR="00974FC5" w:rsidRPr="0025586B" w:rsidRDefault="00974FC5" w:rsidP="009F6CCE">
      <w:pPr>
        <w:spacing w:line="360" w:lineRule="auto"/>
        <w:ind w:left="720" w:hanging="720"/>
        <w:jc w:val="both"/>
        <w:rPr>
          <w:rFonts w:ascii="Times New Roman" w:hAnsi="Times New Roman" w:cs="Times New Roman"/>
          <w:lang w:val="en-GB"/>
        </w:rPr>
      </w:pPr>
      <w:proofErr w:type="spellStart"/>
      <w:r w:rsidRPr="0025586B">
        <w:rPr>
          <w:rFonts w:ascii="Times New Roman" w:hAnsi="Times New Roman" w:cs="Times New Roman"/>
          <w:lang w:val="en-GB"/>
        </w:rPr>
        <w:t>Bulan</w:t>
      </w:r>
      <w:proofErr w:type="spellEnd"/>
      <w:r w:rsidRPr="0025586B">
        <w:rPr>
          <w:rFonts w:ascii="Times New Roman" w:hAnsi="Times New Roman" w:cs="Times New Roman"/>
          <w:lang w:val="en-GB"/>
        </w:rPr>
        <w:t xml:space="preserve">, L. T., &amp; Subramanian, N. (2009). The firm life cycle theory of dividends. </w:t>
      </w:r>
      <w:r w:rsidRPr="0025586B">
        <w:rPr>
          <w:rFonts w:ascii="Times New Roman" w:hAnsi="Times New Roman" w:cs="Times New Roman"/>
          <w:i/>
          <w:iCs/>
          <w:lang w:val="en-GB"/>
        </w:rPr>
        <w:t>Dividends and dividend policy</w:t>
      </w:r>
      <w:r w:rsidRPr="0025586B">
        <w:rPr>
          <w:rFonts w:ascii="Times New Roman" w:hAnsi="Times New Roman" w:cs="Times New Roman"/>
          <w:lang w:val="en-GB"/>
        </w:rPr>
        <w:t>, 201-213.</w:t>
      </w:r>
    </w:p>
    <w:p w14:paraId="75E32DAF" w14:textId="4D5D61DF" w:rsidR="00974FC5" w:rsidRPr="002C7C92" w:rsidRDefault="00974FC5" w:rsidP="009F6CCE">
      <w:pPr>
        <w:spacing w:line="360" w:lineRule="auto"/>
        <w:ind w:left="720" w:hanging="720"/>
        <w:jc w:val="both"/>
        <w:rPr>
          <w:rFonts w:ascii="Times New Roman" w:hAnsi="Times New Roman" w:cs="Times New Roman"/>
          <w:lang w:val="en-GB"/>
        </w:rPr>
      </w:pPr>
      <w:r w:rsidRPr="0025586B">
        <w:rPr>
          <w:rFonts w:ascii="Times New Roman" w:hAnsi="Times New Roman" w:cs="Times New Roman"/>
          <w:lang w:val="en-GB"/>
        </w:rPr>
        <w:t xml:space="preserve">Gill, A., </w:t>
      </w:r>
      <w:proofErr w:type="spellStart"/>
      <w:r w:rsidRPr="0025586B">
        <w:rPr>
          <w:rFonts w:ascii="Times New Roman" w:hAnsi="Times New Roman" w:cs="Times New Roman"/>
          <w:lang w:val="en-GB"/>
        </w:rPr>
        <w:t>Biger</w:t>
      </w:r>
      <w:proofErr w:type="spellEnd"/>
      <w:r w:rsidRPr="0025586B">
        <w:rPr>
          <w:rFonts w:ascii="Times New Roman" w:hAnsi="Times New Roman" w:cs="Times New Roman"/>
          <w:lang w:val="en-GB"/>
        </w:rPr>
        <w:t xml:space="preserve">, N., &amp; </w:t>
      </w:r>
      <w:proofErr w:type="spellStart"/>
      <w:r w:rsidRPr="0025586B">
        <w:rPr>
          <w:rFonts w:ascii="Times New Roman" w:hAnsi="Times New Roman" w:cs="Times New Roman"/>
          <w:lang w:val="en-GB"/>
        </w:rPr>
        <w:t>Tibrewala</w:t>
      </w:r>
      <w:proofErr w:type="spellEnd"/>
      <w:r w:rsidRPr="0025586B">
        <w:rPr>
          <w:rFonts w:ascii="Times New Roman" w:hAnsi="Times New Roman" w:cs="Times New Roman"/>
          <w:lang w:val="en-GB"/>
        </w:rPr>
        <w:t xml:space="preserve">, R. (2010). Determinants of dividend </w:t>
      </w:r>
      <w:proofErr w:type="spellStart"/>
      <w:r w:rsidRPr="0025586B">
        <w:rPr>
          <w:rFonts w:ascii="Times New Roman" w:hAnsi="Times New Roman" w:cs="Times New Roman"/>
          <w:lang w:val="en-GB"/>
        </w:rPr>
        <w:t>payout</w:t>
      </w:r>
      <w:proofErr w:type="spellEnd"/>
      <w:r w:rsidRPr="0025586B">
        <w:rPr>
          <w:rFonts w:ascii="Times New Roman" w:hAnsi="Times New Roman" w:cs="Times New Roman"/>
          <w:lang w:val="en-GB"/>
        </w:rPr>
        <w:t xml:space="preserve"> ratios: evidence from United States. </w:t>
      </w:r>
      <w:r w:rsidRPr="002C7C92">
        <w:rPr>
          <w:rFonts w:ascii="Times New Roman" w:hAnsi="Times New Roman" w:cs="Times New Roman"/>
          <w:i/>
          <w:iCs/>
          <w:lang w:val="en-GB"/>
        </w:rPr>
        <w:t>The Open Business Journal</w:t>
      </w:r>
      <w:r w:rsidRPr="002C7C92">
        <w:rPr>
          <w:rFonts w:ascii="Times New Roman" w:hAnsi="Times New Roman" w:cs="Times New Roman"/>
          <w:lang w:val="en-GB"/>
        </w:rPr>
        <w:t xml:space="preserve">, </w:t>
      </w:r>
      <w:r w:rsidRPr="002C7C92">
        <w:rPr>
          <w:rFonts w:ascii="Times New Roman" w:hAnsi="Times New Roman" w:cs="Times New Roman"/>
          <w:i/>
          <w:iCs/>
          <w:lang w:val="en-GB"/>
        </w:rPr>
        <w:t>3</w:t>
      </w:r>
      <w:r w:rsidRPr="002C7C92">
        <w:rPr>
          <w:rFonts w:ascii="Times New Roman" w:hAnsi="Times New Roman" w:cs="Times New Roman"/>
          <w:lang w:val="en-GB"/>
        </w:rPr>
        <w:t>(1).</w:t>
      </w:r>
    </w:p>
    <w:p w14:paraId="12807F02" w14:textId="77777777" w:rsidR="00974FC5" w:rsidRPr="002C7C92" w:rsidRDefault="00974FC5">
      <w:pPr>
        <w:rPr>
          <w:lang w:val="en-GB"/>
        </w:rPr>
      </w:pPr>
      <w:r w:rsidRPr="002C7C92">
        <w:rPr>
          <w:lang w:val="en-GB"/>
        </w:rPr>
        <w:br w:type="page"/>
      </w:r>
    </w:p>
    <w:p w14:paraId="275C7B2D" w14:textId="4DD82603" w:rsidR="00974FC5" w:rsidRPr="002C7C92" w:rsidRDefault="00974FC5" w:rsidP="00777DEB">
      <w:pPr>
        <w:jc w:val="center"/>
        <w:rPr>
          <w:rFonts w:ascii="Times New Roman" w:hAnsi="Times New Roman" w:cs="Times New Roman"/>
          <w:b/>
          <w:sz w:val="32"/>
          <w:szCs w:val="32"/>
          <w:lang w:val="en-GB"/>
        </w:rPr>
      </w:pPr>
      <w:r w:rsidRPr="002C7C92">
        <w:rPr>
          <w:rFonts w:ascii="Times New Roman" w:hAnsi="Times New Roman" w:cs="Times New Roman"/>
          <w:b/>
          <w:sz w:val="32"/>
          <w:szCs w:val="32"/>
          <w:lang w:val="en-GB"/>
        </w:rPr>
        <w:lastRenderedPageBreak/>
        <w:t>APPENDIX</w:t>
      </w:r>
      <w:r w:rsidR="00777DEB" w:rsidRPr="002C7C92">
        <w:rPr>
          <w:rFonts w:ascii="Times New Roman" w:hAnsi="Times New Roman" w:cs="Times New Roman"/>
          <w:b/>
          <w:sz w:val="32"/>
          <w:szCs w:val="32"/>
          <w:lang w:val="en-GB"/>
        </w:rPr>
        <w:t xml:space="preserve"> A</w:t>
      </w:r>
    </w:p>
    <w:p w14:paraId="68DEFE8C" w14:textId="7837232B" w:rsidR="00777DEB" w:rsidRPr="002C7C92" w:rsidRDefault="00777DEB" w:rsidP="00777DEB">
      <w:pPr>
        <w:jc w:val="center"/>
        <w:rPr>
          <w:rFonts w:ascii="Times New Roman" w:hAnsi="Times New Roman" w:cs="Times New Roman"/>
          <w:b/>
          <w:sz w:val="32"/>
          <w:szCs w:val="32"/>
          <w:lang w:val="en-GB"/>
        </w:rPr>
      </w:pPr>
      <w:r w:rsidRPr="002C7C92">
        <w:rPr>
          <w:rFonts w:ascii="Times New Roman" w:hAnsi="Times New Roman" w:cs="Times New Roman"/>
          <w:b/>
          <w:sz w:val="32"/>
          <w:szCs w:val="32"/>
          <w:lang w:val="en-GB"/>
        </w:rPr>
        <w:t>TABLES</w:t>
      </w:r>
    </w:p>
    <w:p w14:paraId="66951EC8" w14:textId="77777777" w:rsidR="00974FC5" w:rsidRPr="002C7C92" w:rsidRDefault="00974FC5" w:rsidP="00974FC5">
      <w:pPr>
        <w:jc w:val="both"/>
        <w:rPr>
          <w:rFonts w:ascii="Times New Roman" w:hAnsi="Times New Roman" w:cs="Times New Roman"/>
          <w:b/>
          <w:lang w:val="en-GB"/>
        </w:rPr>
      </w:pPr>
    </w:p>
    <w:p w14:paraId="77AA6BA4" w14:textId="30F11D97" w:rsidR="00974FC5" w:rsidRPr="00094B95" w:rsidRDefault="00974FC5" w:rsidP="00974FC5">
      <w:pPr>
        <w:jc w:val="both"/>
        <w:rPr>
          <w:rFonts w:ascii="Times New Roman" w:hAnsi="Times New Roman" w:cs="Times New Roman"/>
          <w:b/>
          <w:lang w:val="en-GB"/>
        </w:rPr>
      </w:pPr>
      <w:r w:rsidRPr="00094B95">
        <w:rPr>
          <w:rFonts w:ascii="Times New Roman" w:hAnsi="Times New Roman" w:cs="Times New Roman"/>
          <w:b/>
          <w:lang w:val="en-GB"/>
        </w:rPr>
        <w:t xml:space="preserve">Table 1. </w:t>
      </w:r>
      <w:r w:rsidR="00094B95" w:rsidRPr="00094B95">
        <w:rPr>
          <w:rFonts w:ascii="Times New Roman" w:hAnsi="Times New Roman" w:cs="Times New Roman"/>
          <w:b/>
          <w:lang w:val="en-GB"/>
        </w:rPr>
        <w:t xml:space="preserve">Definition of the </w:t>
      </w:r>
      <w:r w:rsidRPr="00094B95">
        <w:rPr>
          <w:rFonts w:ascii="Times New Roman" w:hAnsi="Times New Roman" w:cs="Times New Roman"/>
          <w:b/>
          <w:lang w:val="en-GB"/>
        </w:rPr>
        <w:t>variables.</w:t>
      </w:r>
    </w:p>
    <w:tbl>
      <w:tblPr>
        <w:tblStyle w:val="Grigliatabella"/>
        <w:tblW w:w="978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950"/>
      </w:tblGrid>
      <w:tr w:rsidR="00974FC5" w14:paraId="37FEAFDF" w14:textId="77777777" w:rsidTr="00A6726C">
        <w:trPr>
          <w:trHeight w:val="301"/>
        </w:trPr>
        <w:tc>
          <w:tcPr>
            <w:tcW w:w="1838" w:type="dxa"/>
            <w:tcBorders>
              <w:top w:val="single" w:sz="4" w:space="0" w:color="auto"/>
              <w:bottom w:val="single" w:sz="4" w:space="0" w:color="auto"/>
            </w:tcBorders>
          </w:tcPr>
          <w:p w14:paraId="34DB1942" w14:textId="77777777" w:rsidR="00974FC5" w:rsidRPr="002A364A" w:rsidRDefault="00974FC5" w:rsidP="005C0446">
            <w:pPr>
              <w:jc w:val="both"/>
              <w:rPr>
                <w:rFonts w:ascii="Garamond" w:hAnsi="Garamond"/>
                <w:b/>
                <w:sz w:val="22"/>
                <w:szCs w:val="22"/>
                <w:lang w:val="en-US"/>
              </w:rPr>
            </w:pPr>
            <w:r w:rsidRPr="002A364A">
              <w:rPr>
                <w:rFonts w:ascii="Garamond" w:hAnsi="Garamond"/>
                <w:b/>
                <w:sz w:val="22"/>
                <w:szCs w:val="22"/>
                <w:lang w:val="en-US"/>
              </w:rPr>
              <w:t>Variables</w:t>
            </w:r>
          </w:p>
        </w:tc>
        <w:tc>
          <w:tcPr>
            <w:tcW w:w="7950" w:type="dxa"/>
            <w:tcBorders>
              <w:top w:val="single" w:sz="4" w:space="0" w:color="auto"/>
              <w:bottom w:val="single" w:sz="4" w:space="0" w:color="auto"/>
            </w:tcBorders>
          </w:tcPr>
          <w:p w14:paraId="5464BEF5" w14:textId="77777777" w:rsidR="00974FC5" w:rsidRPr="002A364A" w:rsidRDefault="00974FC5" w:rsidP="005C0446">
            <w:pPr>
              <w:jc w:val="both"/>
              <w:rPr>
                <w:rFonts w:ascii="Garamond" w:hAnsi="Garamond"/>
                <w:b/>
                <w:sz w:val="22"/>
                <w:szCs w:val="22"/>
                <w:lang w:val="en-US"/>
              </w:rPr>
            </w:pPr>
            <w:r w:rsidRPr="002A364A">
              <w:rPr>
                <w:rFonts w:ascii="Garamond" w:hAnsi="Garamond"/>
                <w:b/>
                <w:sz w:val="22"/>
                <w:szCs w:val="22"/>
                <w:lang w:val="en-US"/>
              </w:rPr>
              <w:t>Definitions</w:t>
            </w:r>
          </w:p>
        </w:tc>
      </w:tr>
      <w:tr w:rsidR="00974FC5" w14:paraId="1597918C" w14:textId="77777777" w:rsidTr="00A6726C">
        <w:trPr>
          <w:trHeight w:val="301"/>
        </w:trPr>
        <w:tc>
          <w:tcPr>
            <w:tcW w:w="1838" w:type="dxa"/>
            <w:tcBorders>
              <w:top w:val="single" w:sz="4" w:space="0" w:color="auto"/>
              <w:bottom w:val="nil"/>
            </w:tcBorders>
          </w:tcPr>
          <w:p w14:paraId="40ADC2F2"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PROF</w:t>
            </w:r>
          </w:p>
        </w:tc>
        <w:tc>
          <w:tcPr>
            <w:tcW w:w="7950" w:type="dxa"/>
            <w:tcBorders>
              <w:top w:val="single" w:sz="4" w:space="0" w:color="auto"/>
              <w:bottom w:val="nil"/>
            </w:tcBorders>
          </w:tcPr>
          <w:p w14:paraId="651C9BF2" w14:textId="703F3533"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EBIT / Total asset</w:t>
            </w:r>
            <w:r w:rsidR="002C7C92">
              <w:rPr>
                <w:rFonts w:ascii="Garamond" w:hAnsi="Garamond"/>
                <w:sz w:val="22"/>
                <w:szCs w:val="22"/>
                <w:lang w:val="en-US"/>
              </w:rPr>
              <w:t>s</w:t>
            </w:r>
            <w:bookmarkStart w:id="0" w:name="_GoBack"/>
            <w:bookmarkEnd w:id="0"/>
          </w:p>
        </w:tc>
      </w:tr>
      <w:tr w:rsidR="00974FC5" w14:paraId="1189F6EE" w14:textId="77777777" w:rsidTr="00A6726C">
        <w:trPr>
          <w:trHeight w:val="301"/>
        </w:trPr>
        <w:tc>
          <w:tcPr>
            <w:tcW w:w="1838" w:type="dxa"/>
            <w:tcBorders>
              <w:top w:val="nil"/>
              <w:bottom w:val="nil"/>
            </w:tcBorders>
          </w:tcPr>
          <w:p w14:paraId="72B75A49"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 xml:space="preserve">CF </w:t>
            </w:r>
          </w:p>
        </w:tc>
        <w:tc>
          <w:tcPr>
            <w:tcW w:w="7950" w:type="dxa"/>
            <w:tcBorders>
              <w:top w:val="nil"/>
              <w:bottom w:val="nil"/>
            </w:tcBorders>
          </w:tcPr>
          <w:p w14:paraId="7F0F85B9" w14:textId="384AACB1" w:rsidR="00974FC5" w:rsidRPr="002A364A" w:rsidRDefault="002C7C92" w:rsidP="005C0446">
            <w:pPr>
              <w:jc w:val="both"/>
              <w:rPr>
                <w:rFonts w:ascii="Garamond" w:hAnsi="Garamond"/>
                <w:sz w:val="22"/>
                <w:szCs w:val="22"/>
                <w:lang w:val="en-US"/>
              </w:rPr>
            </w:pPr>
            <w:r>
              <w:rPr>
                <w:rFonts w:ascii="Garamond" w:hAnsi="Garamond"/>
                <w:sz w:val="22"/>
                <w:szCs w:val="22"/>
                <w:lang w:val="en-US"/>
              </w:rPr>
              <w:t>l</w:t>
            </w:r>
            <w:r w:rsidR="00974FC5" w:rsidRPr="002A364A">
              <w:rPr>
                <w:rFonts w:ascii="Garamond" w:hAnsi="Garamond"/>
                <w:sz w:val="22"/>
                <w:szCs w:val="22"/>
                <w:lang w:val="en-US"/>
              </w:rPr>
              <w:t xml:space="preserve">n </w:t>
            </w:r>
            <w:r w:rsidR="00974FC5">
              <w:rPr>
                <w:rFonts w:ascii="Garamond" w:hAnsi="Garamond"/>
                <w:sz w:val="22"/>
                <w:szCs w:val="22"/>
                <w:lang w:val="en-US"/>
              </w:rPr>
              <w:t>(O</w:t>
            </w:r>
            <w:r w:rsidR="00974FC5" w:rsidRPr="002A364A">
              <w:rPr>
                <w:rFonts w:ascii="Garamond" w:hAnsi="Garamond"/>
                <w:sz w:val="22"/>
                <w:szCs w:val="22"/>
                <w:lang w:val="en-US"/>
              </w:rPr>
              <w:t>perating cash flow</w:t>
            </w:r>
            <w:r w:rsidR="00974FC5">
              <w:rPr>
                <w:rFonts w:ascii="Garamond" w:hAnsi="Garamond"/>
                <w:sz w:val="22"/>
                <w:szCs w:val="22"/>
                <w:lang w:val="en-US"/>
              </w:rPr>
              <w:t>)</w:t>
            </w:r>
          </w:p>
        </w:tc>
      </w:tr>
      <w:tr w:rsidR="00974FC5" w:rsidRPr="002C7C92" w14:paraId="1B516CFA" w14:textId="77777777" w:rsidTr="00A6726C">
        <w:trPr>
          <w:trHeight w:val="301"/>
        </w:trPr>
        <w:tc>
          <w:tcPr>
            <w:tcW w:w="1838" w:type="dxa"/>
            <w:tcBorders>
              <w:top w:val="nil"/>
              <w:bottom w:val="nil"/>
            </w:tcBorders>
          </w:tcPr>
          <w:p w14:paraId="74D2D183"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 xml:space="preserve">CORP_TAX </w:t>
            </w:r>
          </w:p>
        </w:tc>
        <w:tc>
          <w:tcPr>
            <w:tcW w:w="7950" w:type="dxa"/>
            <w:tcBorders>
              <w:top w:val="nil"/>
              <w:bottom w:val="nil"/>
            </w:tcBorders>
          </w:tcPr>
          <w:p w14:paraId="56BC929D"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 xml:space="preserve">Corporate tax / Net profit before tax </w:t>
            </w:r>
          </w:p>
        </w:tc>
      </w:tr>
      <w:tr w:rsidR="00974FC5" w:rsidRPr="002C7C92" w14:paraId="6D3C17A6" w14:textId="77777777" w:rsidTr="00A6726C">
        <w:trPr>
          <w:trHeight w:val="301"/>
        </w:trPr>
        <w:tc>
          <w:tcPr>
            <w:tcW w:w="1838" w:type="dxa"/>
            <w:tcBorders>
              <w:top w:val="nil"/>
              <w:bottom w:val="nil"/>
            </w:tcBorders>
          </w:tcPr>
          <w:p w14:paraId="1DCE616E"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SALES</w:t>
            </w:r>
          </w:p>
        </w:tc>
        <w:tc>
          <w:tcPr>
            <w:tcW w:w="7950" w:type="dxa"/>
            <w:tcBorders>
              <w:top w:val="nil"/>
              <w:bottom w:val="nil"/>
            </w:tcBorders>
          </w:tcPr>
          <w:p w14:paraId="117C6BB1"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(Current sale – Previous sales) / Previous sales</w:t>
            </w:r>
          </w:p>
        </w:tc>
      </w:tr>
      <w:tr w:rsidR="00974FC5" w:rsidRPr="002C7C92" w14:paraId="7A445C50" w14:textId="77777777" w:rsidTr="00A6726C">
        <w:trPr>
          <w:trHeight w:val="301"/>
        </w:trPr>
        <w:tc>
          <w:tcPr>
            <w:tcW w:w="1838" w:type="dxa"/>
            <w:tcBorders>
              <w:top w:val="nil"/>
              <w:bottom w:val="nil"/>
            </w:tcBorders>
          </w:tcPr>
          <w:p w14:paraId="35643DE8"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PTB</w:t>
            </w:r>
          </w:p>
        </w:tc>
        <w:tc>
          <w:tcPr>
            <w:tcW w:w="7950" w:type="dxa"/>
            <w:tcBorders>
              <w:top w:val="nil"/>
              <w:bottom w:val="nil"/>
            </w:tcBorders>
          </w:tcPr>
          <w:p w14:paraId="61A7B7D5" w14:textId="2782B63A" w:rsidR="00974FC5" w:rsidRPr="002A364A" w:rsidRDefault="002C7C92" w:rsidP="005C0446">
            <w:pPr>
              <w:jc w:val="both"/>
              <w:rPr>
                <w:rFonts w:ascii="Garamond" w:hAnsi="Garamond"/>
                <w:sz w:val="22"/>
                <w:szCs w:val="22"/>
                <w:lang w:val="en-US"/>
              </w:rPr>
            </w:pPr>
            <w:r>
              <w:rPr>
                <w:rFonts w:ascii="Garamond" w:hAnsi="Garamond"/>
                <w:sz w:val="22"/>
                <w:szCs w:val="22"/>
                <w:lang w:val="en-US"/>
              </w:rPr>
              <w:t xml:space="preserve">Market </w:t>
            </w:r>
            <w:proofErr w:type="spellStart"/>
            <w:r>
              <w:rPr>
                <w:rFonts w:ascii="Garamond" w:hAnsi="Garamond"/>
                <w:sz w:val="22"/>
                <w:szCs w:val="22"/>
                <w:lang w:val="en-US"/>
              </w:rPr>
              <w:t>capitalisation</w:t>
            </w:r>
            <w:proofErr w:type="spellEnd"/>
            <w:r>
              <w:rPr>
                <w:rFonts w:ascii="Garamond" w:hAnsi="Garamond"/>
                <w:sz w:val="22"/>
                <w:szCs w:val="22"/>
                <w:lang w:val="en-US"/>
              </w:rPr>
              <w:t xml:space="preserve"> / Total equity</w:t>
            </w:r>
          </w:p>
        </w:tc>
      </w:tr>
      <w:tr w:rsidR="00974FC5" w14:paraId="6EA29899" w14:textId="77777777" w:rsidTr="00A6726C">
        <w:trPr>
          <w:trHeight w:val="301"/>
        </w:trPr>
        <w:tc>
          <w:tcPr>
            <w:tcW w:w="1838" w:type="dxa"/>
            <w:tcBorders>
              <w:top w:val="nil"/>
              <w:bottom w:val="nil"/>
            </w:tcBorders>
          </w:tcPr>
          <w:p w14:paraId="2B966585"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DTE</w:t>
            </w:r>
          </w:p>
        </w:tc>
        <w:tc>
          <w:tcPr>
            <w:tcW w:w="7950" w:type="dxa"/>
            <w:tcBorders>
              <w:top w:val="nil"/>
              <w:bottom w:val="nil"/>
            </w:tcBorders>
          </w:tcPr>
          <w:p w14:paraId="43C16DEB" w14:textId="77777777" w:rsidR="00974FC5" w:rsidRPr="002A364A" w:rsidRDefault="00974FC5" w:rsidP="005C0446">
            <w:pPr>
              <w:jc w:val="both"/>
              <w:rPr>
                <w:rFonts w:ascii="Garamond" w:hAnsi="Garamond"/>
                <w:sz w:val="22"/>
                <w:szCs w:val="22"/>
                <w:lang w:val="en-US"/>
              </w:rPr>
            </w:pPr>
            <w:r>
              <w:rPr>
                <w:rFonts w:ascii="Garamond" w:hAnsi="Garamond"/>
                <w:sz w:val="22"/>
                <w:szCs w:val="22"/>
                <w:lang w:val="en-US"/>
              </w:rPr>
              <w:t>Total debt / Total</w:t>
            </w:r>
            <w:r w:rsidRPr="002A364A">
              <w:rPr>
                <w:rFonts w:ascii="Garamond" w:hAnsi="Garamond"/>
                <w:sz w:val="22"/>
                <w:szCs w:val="22"/>
                <w:lang w:val="en-US"/>
              </w:rPr>
              <w:t xml:space="preserve"> equity</w:t>
            </w:r>
          </w:p>
        </w:tc>
      </w:tr>
      <w:tr w:rsidR="00974FC5" w14:paraId="5FCBFEF3" w14:textId="77777777" w:rsidTr="00A6726C">
        <w:trPr>
          <w:trHeight w:val="301"/>
        </w:trPr>
        <w:tc>
          <w:tcPr>
            <w:tcW w:w="1838" w:type="dxa"/>
            <w:tcBorders>
              <w:top w:val="nil"/>
              <w:bottom w:val="nil"/>
            </w:tcBorders>
          </w:tcPr>
          <w:p w14:paraId="6EC529AE"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SIZE</w:t>
            </w:r>
          </w:p>
        </w:tc>
        <w:tc>
          <w:tcPr>
            <w:tcW w:w="7950" w:type="dxa"/>
            <w:tcBorders>
              <w:top w:val="nil"/>
              <w:bottom w:val="nil"/>
            </w:tcBorders>
          </w:tcPr>
          <w:p w14:paraId="1CDCDB0B" w14:textId="74D34A10" w:rsidR="00974FC5" w:rsidRPr="002A364A" w:rsidRDefault="002C7C92" w:rsidP="005C0446">
            <w:pPr>
              <w:jc w:val="both"/>
              <w:rPr>
                <w:rFonts w:ascii="Garamond" w:hAnsi="Garamond"/>
                <w:sz w:val="22"/>
                <w:szCs w:val="22"/>
                <w:lang w:val="en-US"/>
              </w:rPr>
            </w:pPr>
            <w:r>
              <w:rPr>
                <w:rFonts w:ascii="Garamond" w:hAnsi="Garamond"/>
                <w:sz w:val="22"/>
                <w:szCs w:val="22"/>
                <w:lang w:val="en-US"/>
              </w:rPr>
              <w:t>l</w:t>
            </w:r>
            <w:r w:rsidR="00974FC5" w:rsidRPr="002A364A">
              <w:rPr>
                <w:rFonts w:ascii="Garamond" w:hAnsi="Garamond"/>
                <w:sz w:val="22"/>
                <w:szCs w:val="22"/>
                <w:lang w:val="en-US"/>
              </w:rPr>
              <w:t xml:space="preserve">n </w:t>
            </w:r>
            <w:r w:rsidR="00974FC5">
              <w:rPr>
                <w:rFonts w:ascii="Garamond" w:hAnsi="Garamond"/>
                <w:sz w:val="22"/>
                <w:szCs w:val="22"/>
                <w:lang w:val="en-US"/>
              </w:rPr>
              <w:t>(T</w:t>
            </w:r>
            <w:r w:rsidR="00974FC5" w:rsidRPr="002A364A">
              <w:rPr>
                <w:rFonts w:ascii="Garamond" w:hAnsi="Garamond"/>
                <w:sz w:val="22"/>
                <w:szCs w:val="22"/>
                <w:lang w:val="en-US"/>
              </w:rPr>
              <w:t>otal assets</w:t>
            </w:r>
            <w:r w:rsidR="00974FC5">
              <w:rPr>
                <w:rFonts w:ascii="Garamond" w:hAnsi="Garamond"/>
                <w:sz w:val="22"/>
                <w:szCs w:val="22"/>
                <w:lang w:val="en-US"/>
              </w:rPr>
              <w:t>)</w:t>
            </w:r>
          </w:p>
        </w:tc>
      </w:tr>
      <w:tr w:rsidR="00974FC5" w:rsidRPr="00450721" w14:paraId="27F04ACC" w14:textId="77777777" w:rsidTr="00A6726C">
        <w:trPr>
          <w:trHeight w:val="301"/>
        </w:trPr>
        <w:tc>
          <w:tcPr>
            <w:tcW w:w="1838" w:type="dxa"/>
            <w:tcBorders>
              <w:top w:val="nil"/>
              <w:bottom w:val="nil"/>
            </w:tcBorders>
          </w:tcPr>
          <w:p w14:paraId="300094D5"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LIFE_CYCLE</w:t>
            </w:r>
          </w:p>
        </w:tc>
        <w:tc>
          <w:tcPr>
            <w:tcW w:w="7950" w:type="dxa"/>
            <w:tcBorders>
              <w:top w:val="nil"/>
              <w:bottom w:val="nil"/>
            </w:tcBorders>
          </w:tcPr>
          <w:p w14:paraId="215A8014" w14:textId="77777777" w:rsidR="00974FC5" w:rsidRPr="002A364A" w:rsidRDefault="00974FC5" w:rsidP="005C0446">
            <w:pPr>
              <w:jc w:val="both"/>
              <w:rPr>
                <w:rFonts w:ascii="Garamond" w:hAnsi="Garamond"/>
                <w:sz w:val="22"/>
                <w:szCs w:val="22"/>
                <w:lang w:val="en-US"/>
              </w:rPr>
            </w:pPr>
            <w:r w:rsidRPr="002A364A">
              <w:rPr>
                <w:rFonts w:ascii="Garamond" w:hAnsi="Garamond"/>
                <w:sz w:val="22"/>
                <w:szCs w:val="22"/>
                <w:lang w:val="en-US"/>
              </w:rPr>
              <w:t>Retained earnings / T</w:t>
            </w:r>
            <w:r>
              <w:rPr>
                <w:rFonts w:ascii="Garamond" w:hAnsi="Garamond"/>
                <w:sz w:val="22"/>
                <w:szCs w:val="22"/>
                <w:lang w:val="en-US"/>
              </w:rPr>
              <w:t>otal</w:t>
            </w:r>
            <w:r w:rsidRPr="002A364A">
              <w:rPr>
                <w:rFonts w:ascii="Garamond" w:hAnsi="Garamond"/>
                <w:sz w:val="22"/>
                <w:szCs w:val="22"/>
                <w:lang w:val="en-US"/>
              </w:rPr>
              <w:t xml:space="preserve"> equity</w:t>
            </w:r>
          </w:p>
        </w:tc>
      </w:tr>
      <w:tr w:rsidR="00974FC5" w:rsidRPr="002C7C92" w14:paraId="22CD3A67" w14:textId="77777777" w:rsidTr="00A6726C">
        <w:trPr>
          <w:trHeight w:val="301"/>
        </w:trPr>
        <w:tc>
          <w:tcPr>
            <w:tcW w:w="1838" w:type="dxa"/>
            <w:tcBorders>
              <w:top w:val="nil"/>
              <w:bottom w:val="single" w:sz="4" w:space="0" w:color="auto"/>
            </w:tcBorders>
          </w:tcPr>
          <w:p w14:paraId="48722B2E" w14:textId="5F04925E" w:rsidR="00974FC5" w:rsidRPr="002A364A" w:rsidRDefault="00777DEB" w:rsidP="005C0446">
            <w:pPr>
              <w:jc w:val="both"/>
              <w:rPr>
                <w:rFonts w:ascii="Garamond" w:hAnsi="Garamond"/>
                <w:sz w:val="22"/>
                <w:szCs w:val="22"/>
                <w:lang w:val="en-US"/>
              </w:rPr>
            </w:pPr>
            <w:r>
              <w:rPr>
                <w:rFonts w:ascii="Garamond" w:hAnsi="Garamond"/>
                <w:sz w:val="22"/>
                <w:szCs w:val="22"/>
                <w:lang w:val="en-US"/>
              </w:rPr>
              <w:t>LN_</w:t>
            </w:r>
            <w:r w:rsidR="00974FC5" w:rsidRPr="002A364A">
              <w:rPr>
                <w:rFonts w:ascii="Garamond" w:hAnsi="Garamond"/>
                <w:sz w:val="22"/>
                <w:szCs w:val="22"/>
                <w:lang w:val="en-US"/>
              </w:rPr>
              <w:t>DP</w:t>
            </w:r>
          </w:p>
        </w:tc>
        <w:tc>
          <w:tcPr>
            <w:tcW w:w="7950" w:type="dxa"/>
            <w:tcBorders>
              <w:top w:val="nil"/>
              <w:bottom w:val="single" w:sz="4" w:space="0" w:color="auto"/>
            </w:tcBorders>
          </w:tcPr>
          <w:p w14:paraId="5EEF70F4" w14:textId="141BF782" w:rsidR="00974FC5" w:rsidRPr="002A364A" w:rsidRDefault="002C7C92" w:rsidP="005C0446">
            <w:pPr>
              <w:jc w:val="both"/>
              <w:rPr>
                <w:rFonts w:ascii="Garamond" w:hAnsi="Garamond"/>
                <w:sz w:val="22"/>
                <w:szCs w:val="22"/>
                <w:lang w:val="en-US"/>
              </w:rPr>
            </w:pPr>
            <w:r>
              <w:rPr>
                <w:rFonts w:ascii="Garamond" w:hAnsi="Garamond"/>
                <w:sz w:val="22"/>
                <w:szCs w:val="22"/>
                <w:lang w:val="en-US"/>
              </w:rPr>
              <w:t>l</w:t>
            </w:r>
            <w:r w:rsidR="00777DEB">
              <w:rPr>
                <w:rFonts w:ascii="Garamond" w:hAnsi="Garamond"/>
                <w:sz w:val="22"/>
                <w:szCs w:val="22"/>
                <w:lang w:val="en-US"/>
              </w:rPr>
              <w:t>n</w:t>
            </w:r>
            <w:r>
              <w:rPr>
                <w:rFonts w:ascii="Garamond" w:hAnsi="Garamond"/>
                <w:sz w:val="22"/>
                <w:szCs w:val="22"/>
                <w:lang w:val="en-US"/>
              </w:rPr>
              <w:t xml:space="preserve"> </w:t>
            </w:r>
            <w:r w:rsidR="00777DEB">
              <w:rPr>
                <w:rFonts w:ascii="Garamond" w:hAnsi="Garamond"/>
                <w:sz w:val="22"/>
                <w:szCs w:val="22"/>
                <w:lang w:val="en-US"/>
              </w:rPr>
              <w:t>(</w:t>
            </w:r>
            <w:r w:rsidR="00974FC5" w:rsidRPr="002A364A">
              <w:rPr>
                <w:rFonts w:ascii="Garamond" w:hAnsi="Garamond"/>
                <w:sz w:val="22"/>
                <w:szCs w:val="22"/>
                <w:lang w:val="en-US"/>
              </w:rPr>
              <w:t>Year dividend / Net income after tax</w:t>
            </w:r>
            <w:r w:rsidR="00777DEB">
              <w:rPr>
                <w:rFonts w:ascii="Garamond" w:hAnsi="Garamond"/>
                <w:sz w:val="22"/>
                <w:szCs w:val="22"/>
                <w:lang w:val="en-US"/>
              </w:rPr>
              <w:t>)</w:t>
            </w:r>
          </w:p>
        </w:tc>
      </w:tr>
    </w:tbl>
    <w:p w14:paraId="60516B76" w14:textId="35CDDF5A" w:rsidR="00A6726C" w:rsidRDefault="00A6726C" w:rsidP="00974FC5">
      <w:pPr>
        <w:jc w:val="both"/>
        <w:rPr>
          <w:b/>
          <w:lang w:val="en-GB"/>
        </w:rPr>
      </w:pPr>
    </w:p>
    <w:p w14:paraId="447F251F" w14:textId="4A14F0C5" w:rsidR="00777DEB" w:rsidRPr="00FE4310" w:rsidRDefault="00777DEB" w:rsidP="00777DEB">
      <w:pPr>
        <w:jc w:val="both"/>
        <w:rPr>
          <w:rFonts w:ascii="Times New Roman" w:hAnsi="Times New Roman" w:cs="Times New Roman"/>
          <w:b/>
          <w:lang w:val="en-GB"/>
        </w:rPr>
      </w:pPr>
      <w:r w:rsidRPr="00FE4310">
        <w:rPr>
          <w:rFonts w:ascii="Times New Roman" w:hAnsi="Times New Roman" w:cs="Times New Roman"/>
          <w:b/>
          <w:lang w:val="en-GB"/>
        </w:rPr>
        <w:t xml:space="preserve">Table 2. Descriptive statistics for </w:t>
      </w:r>
      <w:r w:rsidR="00911565">
        <w:rPr>
          <w:rFonts w:ascii="Times New Roman" w:hAnsi="Times New Roman" w:cs="Times New Roman"/>
          <w:b/>
          <w:lang w:val="en-GB"/>
        </w:rPr>
        <w:t xml:space="preserve">the </w:t>
      </w:r>
      <w:proofErr w:type="spellStart"/>
      <w:r w:rsidRPr="00FE4310">
        <w:rPr>
          <w:rFonts w:ascii="Times New Roman" w:hAnsi="Times New Roman" w:cs="Times New Roman"/>
          <w:b/>
          <w:lang w:val="en-GB"/>
        </w:rPr>
        <w:t>Winsorised</w:t>
      </w:r>
      <w:proofErr w:type="spellEnd"/>
      <w:r w:rsidRPr="00FE4310">
        <w:rPr>
          <w:rFonts w:ascii="Times New Roman" w:hAnsi="Times New Roman" w:cs="Times New Roman"/>
          <w:b/>
          <w:lang w:val="en-GB"/>
        </w:rPr>
        <w:t xml:space="preserve"> dividend </w:t>
      </w:r>
      <w:proofErr w:type="spellStart"/>
      <w:r w:rsidRPr="00FE4310">
        <w:rPr>
          <w:rFonts w:ascii="Times New Roman" w:hAnsi="Times New Roman" w:cs="Times New Roman"/>
          <w:b/>
          <w:lang w:val="en-GB"/>
        </w:rPr>
        <w:t>payout</w:t>
      </w:r>
      <w:proofErr w:type="spellEnd"/>
      <w:r w:rsidRPr="00FE4310">
        <w:rPr>
          <w:rFonts w:ascii="Times New Roman" w:hAnsi="Times New Roman" w:cs="Times New Roman"/>
          <w:b/>
          <w:lang w:val="en-GB"/>
        </w:rPr>
        <w:t xml:space="preserve"> (</w:t>
      </w:r>
      <w:r w:rsidR="0025586B">
        <w:rPr>
          <w:rFonts w:ascii="Times New Roman" w:hAnsi="Times New Roman" w:cs="Times New Roman"/>
          <w:b/>
          <w:i/>
          <w:lang w:val="en-GB"/>
        </w:rPr>
        <w:t>WLN_DP</w:t>
      </w:r>
      <w:r w:rsidRPr="00FE4310">
        <w:rPr>
          <w:rFonts w:ascii="Times New Roman" w:hAnsi="Times New Roman" w:cs="Times New Roman"/>
          <w:b/>
          <w:lang w:val="en-GB"/>
        </w:rPr>
        <w:t>).</w:t>
      </w:r>
    </w:p>
    <w:p w14:paraId="5CBFE77C" w14:textId="77777777" w:rsidR="00777DEB" w:rsidRDefault="00777DEB" w:rsidP="00777DEB">
      <w:pPr>
        <w:jc w:val="both"/>
        <w:rPr>
          <w:b/>
          <w:lang w:val="en-GB"/>
        </w:rPr>
      </w:pPr>
      <w:r>
        <w:rPr>
          <w:rFonts w:ascii="Times New Roman" w:hAnsi="Times New Roman" w:cs="Times New Roman"/>
          <w:noProof/>
          <w:lang w:eastAsia="it-IT"/>
        </w:rPr>
        <w:drawing>
          <wp:inline distT="0" distB="0" distL="0" distR="0" wp14:anchorId="3BA734CA" wp14:editId="5C05F85C">
            <wp:extent cx="3284184" cy="2294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 winsor.PNG"/>
                    <pic:cNvPicPr/>
                  </pic:nvPicPr>
                  <pic:blipFill>
                    <a:blip r:embed="rId7">
                      <a:extLst>
                        <a:ext uri="{28A0092B-C50C-407E-A947-70E740481C1C}">
                          <a14:useLocalDpi xmlns:a14="http://schemas.microsoft.com/office/drawing/2010/main" val="0"/>
                        </a:ext>
                      </a:extLst>
                    </a:blip>
                    <a:stretch>
                      <a:fillRect/>
                    </a:stretch>
                  </pic:blipFill>
                  <pic:spPr>
                    <a:xfrm>
                      <a:off x="0" y="0"/>
                      <a:ext cx="3338858" cy="2332826"/>
                    </a:xfrm>
                    <a:prstGeom prst="rect">
                      <a:avLst/>
                    </a:prstGeom>
                  </pic:spPr>
                </pic:pic>
              </a:graphicData>
            </a:graphic>
          </wp:inline>
        </w:drawing>
      </w:r>
    </w:p>
    <w:p w14:paraId="347079EE" w14:textId="77777777" w:rsidR="009F6CCE" w:rsidRDefault="009F6CCE" w:rsidP="00777DEB">
      <w:pPr>
        <w:jc w:val="both"/>
        <w:rPr>
          <w:b/>
          <w:lang w:val="en-GB"/>
        </w:rPr>
      </w:pPr>
    </w:p>
    <w:p w14:paraId="492055FD" w14:textId="36044FED" w:rsidR="00777DEB" w:rsidRPr="00FE4310" w:rsidRDefault="00777DEB" w:rsidP="00777DEB">
      <w:pPr>
        <w:jc w:val="both"/>
        <w:rPr>
          <w:rFonts w:ascii="Times New Roman" w:hAnsi="Times New Roman" w:cs="Times New Roman"/>
          <w:b/>
          <w:lang w:val="en-GB"/>
        </w:rPr>
      </w:pPr>
      <w:r w:rsidRPr="00FE4310">
        <w:rPr>
          <w:rFonts w:ascii="Times New Roman" w:hAnsi="Times New Roman" w:cs="Times New Roman"/>
          <w:b/>
          <w:lang w:val="en-GB"/>
        </w:rPr>
        <w:t>Table 3. Significance test on the financial crisis dummy (</w:t>
      </w:r>
      <w:r w:rsidR="0025586B">
        <w:rPr>
          <w:rFonts w:ascii="Times New Roman" w:hAnsi="Times New Roman" w:cs="Times New Roman"/>
          <w:b/>
          <w:i/>
          <w:lang w:val="en-GB"/>
        </w:rPr>
        <w:t>FINCRISIS</w:t>
      </w:r>
      <w:r w:rsidRPr="00FE4310">
        <w:rPr>
          <w:rFonts w:ascii="Times New Roman" w:hAnsi="Times New Roman" w:cs="Times New Roman"/>
          <w:b/>
          <w:lang w:val="en-GB"/>
        </w:rPr>
        <w:t>).</w:t>
      </w:r>
    </w:p>
    <w:p w14:paraId="657B0566" w14:textId="77777777" w:rsidR="005A647A" w:rsidRDefault="00777DEB" w:rsidP="00FE4310">
      <w:pPr>
        <w:jc w:val="both"/>
        <w:rPr>
          <w:b/>
          <w:lang w:val="en-GB"/>
        </w:rPr>
      </w:pPr>
      <w:r>
        <w:rPr>
          <w:rFonts w:ascii="Times New Roman" w:hAnsi="Times New Roman" w:cs="Times New Roman"/>
          <w:noProof/>
          <w:lang w:eastAsia="it-IT"/>
        </w:rPr>
        <w:drawing>
          <wp:inline distT="0" distB="0" distL="0" distR="0" wp14:anchorId="751F26B4" wp14:editId="7722C7F7">
            <wp:extent cx="4311441" cy="22342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 test.PNG"/>
                    <pic:cNvPicPr/>
                  </pic:nvPicPr>
                  <pic:blipFill>
                    <a:blip r:embed="rId8">
                      <a:extLst>
                        <a:ext uri="{28A0092B-C50C-407E-A947-70E740481C1C}">
                          <a14:useLocalDpi xmlns:a14="http://schemas.microsoft.com/office/drawing/2010/main" val="0"/>
                        </a:ext>
                      </a:extLst>
                    </a:blip>
                    <a:stretch>
                      <a:fillRect/>
                    </a:stretch>
                  </pic:blipFill>
                  <pic:spPr>
                    <a:xfrm>
                      <a:off x="0" y="0"/>
                      <a:ext cx="4324771" cy="2241149"/>
                    </a:xfrm>
                    <a:prstGeom prst="rect">
                      <a:avLst/>
                    </a:prstGeom>
                  </pic:spPr>
                </pic:pic>
              </a:graphicData>
            </a:graphic>
          </wp:inline>
        </w:drawing>
      </w:r>
    </w:p>
    <w:p w14:paraId="78FCE6B2" w14:textId="77777777" w:rsidR="00BA47C6" w:rsidRDefault="00BA47C6" w:rsidP="00FE4310">
      <w:pPr>
        <w:jc w:val="both"/>
        <w:rPr>
          <w:b/>
          <w:lang w:val="en-GB"/>
        </w:rPr>
        <w:sectPr w:rsidR="00BA47C6">
          <w:footerReference w:type="default" r:id="rId9"/>
          <w:pgSz w:w="11906" w:h="16838"/>
          <w:pgMar w:top="1417" w:right="1134" w:bottom="1134" w:left="1134" w:header="708" w:footer="708" w:gutter="0"/>
          <w:cols w:space="708"/>
          <w:docGrid w:linePitch="360"/>
        </w:sectPr>
      </w:pPr>
    </w:p>
    <w:p w14:paraId="56CD4983" w14:textId="21634A33" w:rsidR="00797955" w:rsidRPr="00797955" w:rsidRDefault="00797955" w:rsidP="00797955">
      <w:pPr>
        <w:widowControl w:val="0"/>
        <w:autoSpaceDE w:val="0"/>
        <w:autoSpaceDN w:val="0"/>
        <w:adjustRightInd w:val="0"/>
        <w:spacing w:after="0" w:line="240" w:lineRule="auto"/>
        <w:rPr>
          <w:rFonts w:ascii="Times New Roman" w:hAnsi="Times New Roman" w:cs="Times New Roman"/>
          <w:lang w:val="en-US"/>
        </w:rPr>
      </w:pPr>
      <w:r w:rsidRPr="00797955">
        <w:rPr>
          <w:rFonts w:ascii="Times New Roman" w:hAnsi="Times New Roman" w:cs="Times New Roman"/>
          <w:b/>
          <w:bCs/>
          <w:lang w:val="en-US"/>
        </w:rPr>
        <w:lastRenderedPageBreak/>
        <w:t>Table 4. Regression results.</w:t>
      </w:r>
    </w:p>
    <w:tbl>
      <w:tblPr>
        <w:tblW w:w="14158" w:type="dxa"/>
        <w:tblLayout w:type="fixed"/>
        <w:tblLook w:val="0000" w:firstRow="0" w:lastRow="0" w:firstColumn="0" w:lastColumn="0" w:noHBand="0" w:noVBand="0"/>
      </w:tblPr>
      <w:tblGrid>
        <w:gridCol w:w="2108"/>
        <w:gridCol w:w="1250"/>
        <w:gridCol w:w="1200"/>
        <w:gridCol w:w="1200"/>
        <w:gridCol w:w="1200"/>
        <w:gridCol w:w="1200"/>
        <w:gridCol w:w="1200"/>
        <w:gridCol w:w="1200"/>
        <w:gridCol w:w="1200"/>
        <w:gridCol w:w="1200"/>
        <w:gridCol w:w="1200"/>
      </w:tblGrid>
      <w:tr w:rsidR="00797955" w14:paraId="74382B13" w14:textId="77777777" w:rsidTr="005C0446">
        <w:tc>
          <w:tcPr>
            <w:tcW w:w="2108" w:type="dxa"/>
            <w:tcBorders>
              <w:top w:val="single" w:sz="4" w:space="0" w:color="auto"/>
              <w:left w:val="nil"/>
              <w:bottom w:val="nil"/>
              <w:right w:val="nil"/>
            </w:tcBorders>
          </w:tcPr>
          <w:p w14:paraId="1C8A0CB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tc>
        <w:tc>
          <w:tcPr>
            <w:tcW w:w="1250" w:type="dxa"/>
            <w:tcBorders>
              <w:top w:val="single" w:sz="4" w:space="0" w:color="auto"/>
              <w:left w:val="nil"/>
              <w:bottom w:val="nil"/>
              <w:right w:val="nil"/>
            </w:tcBorders>
          </w:tcPr>
          <w:p w14:paraId="7716B86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(1)</w:t>
            </w:r>
          </w:p>
        </w:tc>
        <w:tc>
          <w:tcPr>
            <w:tcW w:w="1200" w:type="dxa"/>
            <w:tcBorders>
              <w:top w:val="single" w:sz="4" w:space="0" w:color="auto"/>
              <w:left w:val="nil"/>
              <w:bottom w:val="nil"/>
              <w:right w:val="nil"/>
            </w:tcBorders>
          </w:tcPr>
          <w:p w14:paraId="3DADEF4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(2)</w:t>
            </w:r>
          </w:p>
        </w:tc>
        <w:tc>
          <w:tcPr>
            <w:tcW w:w="1200" w:type="dxa"/>
            <w:tcBorders>
              <w:top w:val="single" w:sz="4" w:space="0" w:color="auto"/>
              <w:left w:val="nil"/>
              <w:bottom w:val="nil"/>
              <w:right w:val="nil"/>
            </w:tcBorders>
          </w:tcPr>
          <w:p w14:paraId="54C28F1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(3)</w:t>
            </w:r>
          </w:p>
        </w:tc>
        <w:tc>
          <w:tcPr>
            <w:tcW w:w="1200" w:type="dxa"/>
            <w:tcBorders>
              <w:top w:val="single" w:sz="4" w:space="0" w:color="auto"/>
              <w:left w:val="nil"/>
              <w:bottom w:val="nil"/>
              <w:right w:val="nil"/>
            </w:tcBorders>
          </w:tcPr>
          <w:p w14:paraId="46F7C2E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(4)</w:t>
            </w:r>
          </w:p>
        </w:tc>
        <w:tc>
          <w:tcPr>
            <w:tcW w:w="1200" w:type="dxa"/>
            <w:tcBorders>
              <w:top w:val="single" w:sz="4" w:space="0" w:color="auto"/>
              <w:left w:val="nil"/>
              <w:bottom w:val="nil"/>
              <w:right w:val="nil"/>
            </w:tcBorders>
          </w:tcPr>
          <w:p w14:paraId="29FC696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(5)</w:t>
            </w:r>
          </w:p>
        </w:tc>
        <w:tc>
          <w:tcPr>
            <w:tcW w:w="1200" w:type="dxa"/>
            <w:tcBorders>
              <w:top w:val="single" w:sz="4" w:space="0" w:color="auto"/>
              <w:left w:val="nil"/>
              <w:bottom w:val="nil"/>
              <w:right w:val="nil"/>
            </w:tcBorders>
          </w:tcPr>
          <w:p w14:paraId="5363DC8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(6)</w:t>
            </w:r>
          </w:p>
        </w:tc>
        <w:tc>
          <w:tcPr>
            <w:tcW w:w="1200" w:type="dxa"/>
            <w:tcBorders>
              <w:top w:val="single" w:sz="4" w:space="0" w:color="auto"/>
              <w:left w:val="nil"/>
              <w:bottom w:val="nil"/>
              <w:right w:val="nil"/>
            </w:tcBorders>
          </w:tcPr>
          <w:p w14:paraId="390FC73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(7)</w:t>
            </w:r>
          </w:p>
        </w:tc>
        <w:tc>
          <w:tcPr>
            <w:tcW w:w="1200" w:type="dxa"/>
            <w:tcBorders>
              <w:top w:val="single" w:sz="4" w:space="0" w:color="auto"/>
              <w:left w:val="nil"/>
              <w:bottom w:val="nil"/>
              <w:right w:val="nil"/>
            </w:tcBorders>
          </w:tcPr>
          <w:p w14:paraId="2D59535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(8)</w:t>
            </w:r>
          </w:p>
        </w:tc>
        <w:tc>
          <w:tcPr>
            <w:tcW w:w="1200" w:type="dxa"/>
            <w:tcBorders>
              <w:top w:val="single" w:sz="4" w:space="0" w:color="auto"/>
              <w:left w:val="nil"/>
              <w:bottom w:val="nil"/>
              <w:right w:val="nil"/>
            </w:tcBorders>
          </w:tcPr>
          <w:p w14:paraId="56DF988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(9)</w:t>
            </w:r>
          </w:p>
        </w:tc>
        <w:tc>
          <w:tcPr>
            <w:tcW w:w="1200" w:type="dxa"/>
            <w:tcBorders>
              <w:top w:val="single" w:sz="4" w:space="0" w:color="auto"/>
              <w:left w:val="nil"/>
              <w:bottom w:val="nil"/>
              <w:right w:val="nil"/>
            </w:tcBorders>
          </w:tcPr>
          <w:p w14:paraId="5AEA93E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(10)</w:t>
            </w:r>
          </w:p>
        </w:tc>
      </w:tr>
      <w:tr w:rsidR="00797955" w14:paraId="3B23B9E5" w14:textId="77777777" w:rsidTr="005C0446">
        <w:tc>
          <w:tcPr>
            <w:tcW w:w="2108" w:type="dxa"/>
            <w:tcBorders>
              <w:top w:val="nil"/>
              <w:left w:val="nil"/>
              <w:bottom w:val="single" w:sz="10" w:space="0" w:color="auto"/>
              <w:right w:val="nil"/>
            </w:tcBorders>
          </w:tcPr>
          <w:p w14:paraId="29D9804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single" w:sz="10" w:space="0" w:color="auto"/>
              <w:right w:val="nil"/>
            </w:tcBorders>
          </w:tcPr>
          <w:p w14:paraId="181AC76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565FDF2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Pooled OLS</w:t>
            </w:r>
          </w:p>
        </w:tc>
        <w:tc>
          <w:tcPr>
            <w:tcW w:w="1200" w:type="dxa"/>
            <w:tcBorders>
              <w:top w:val="nil"/>
              <w:left w:val="nil"/>
              <w:bottom w:val="single" w:sz="10" w:space="0" w:color="auto"/>
              <w:right w:val="nil"/>
            </w:tcBorders>
          </w:tcPr>
          <w:p w14:paraId="3700D23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358DECF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Pooled OLS</w:t>
            </w:r>
          </w:p>
        </w:tc>
        <w:tc>
          <w:tcPr>
            <w:tcW w:w="1200" w:type="dxa"/>
            <w:tcBorders>
              <w:top w:val="nil"/>
              <w:left w:val="nil"/>
              <w:bottom w:val="single" w:sz="10" w:space="0" w:color="auto"/>
              <w:right w:val="nil"/>
            </w:tcBorders>
          </w:tcPr>
          <w:p w14:paraId="20C876C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458283B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Pooled OLS</w:t>
            </w:r>
          </w:p>
          <w:p w14:paraId="3B03FD3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(baseline)</w:t>
            </w:r>
          </w:p>
        </w:tc>
        <w:tc>
          <w:tcPr>
            <w:tcW w:w="1200" w:type="dxa"/>
            <w:tcBorders>
              <w:top w:val="nil"/>
              <w:left w:val="nil"/>
              <w:bottom w:val="single" w:sz="10" w:space="0" w:color="auto"/>
              <w:right w:val="nil"/>
            </w:tcBorders>
          </w:tcPr>
          <w:p w14:paraId="2316ED5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419D11A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Pooled OLS (clusters by sector)</w:t>
            </w:r>
          </w:p>
        </w:tc>
        <w:tc>
          <w:tcPr>
            <w:tcW w:w="1200" w:type="dxa"/>
            <w:tcBorders>
              <w:top w:val="nil"/>
              <w:left w:val="nil"/>
              <w:bottom w:val="single" w:sz="10" w:space="0" w:color="auto"/>
              <w:right w:val="nil"/>
            </w:tcBorders>
          </w:tcPr>
          <w:p w14:paraId="41BC149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676E5FD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Time F.E.</w:t>
            </w:r>
          </w:p>
        </w:tc>
        <w:tc>
          <w:tcPr>
            <w:tcW w:w="1200" w:type="dxa"/>
            <w:tcBorders>
              <w:top w:val="nil"/>
              <w:left w:val="nil"/>
              <w:bottom w:val="single" w:sz="10" w:space="0" w:color="auto"/>
              <w:right w:val="nil"/>
            </w:tcBorders>
          </w:tcPr>
          <w:p w14:paraId="105F681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3728070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Firm F.E.</w:t>
            </w:r>
          </w:p>
        </w:tc>
        <w:tc>
          <w:tcPr>
            <w:tcW w:w="1200" w:type="dxa"/>
            <w:tcBorders>
              <w:top w:val="nil"/>
              <w:left w:val="nil"/>
              <w:bottom w:val="single" w:sz="10" w:space="0" w:color="auto"/>
              <w:right w:val="nil"/>
            </w:tcBorders>
          </w:tcPr>
          <w:p w14:paraId="15A3646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384E8AD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Time and firm F.E.</w:t>
            </w:r>
          </w:p>
        </w:tc>
        <w:tc>
          <w:tcPr>
            <w:tcW w:w="1200" w:type="dxa"/>
            <w:tcBorders>
              <w:top w:val="nil"/>
              <w:left w:val="nil"/>
              <w:bottom w:val="single" w:sz="10" w:space="0" w:color="auto"/>
              <w:right w:val="nil"/>
            </w:tcBorders>
          </w:tcPr>
          <w:p w14:paraId="3832583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7E70041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Time, firm, sector and country F.E.</w:t>
            </w:r>
          </w:p>
        </w:tc>
        <w:tc>
          <w:tcPr>
            <w:tcW w:w="1200" w:type="dxa"/>
            <w:tcBorders>
              <w:top w:val="nil"/>
              <w:left w:val="nil"/>
              <w:bottom w:val="single" w:sz="10" w:space="0" w:color="auto"/>
              <w:right w:val="nil"/>
            </w:tcBorders>
          </w:tcPr>
          <w:p w14:paraId="2A59975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4A10767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R.E.</w:t>
            </w:r>
          </w:p>
        </w:tc>
        <w:tc>
          <w:tcPr>
            <w:tcW w:w="1200" w:type="dxa"/>
            <w:tcBorders>
              <w:top w:val="nil"/>
              <w:left w:val="nil"/>
              <w:bottom w:val="single" w:sz="10" w:space="0" w:color="auto"/>
              <w:right w:val="nil"/>
            </w:tcBorders>
          </w:tcPr>
          <w:p w14:paraId="749DAF7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 xml:space="preserve">   </w:t>
            </w:r>
          </w:p>
          <w:p w14:paraId="606121D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Pooled OLS (Driscoll-</w:t>
            </w:r>
          </w:p>
          <w:p w14:paraId="095C75E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Kraay)</w:t>
            </w:r>
          </w:p>
        </w:tc>
      </w:tr>
      <w:tr w:rsidR="00797955" w14:paraId="302AB185" w14:textId="77777777" w:rsidTr="005C0446">
        <w:tc>
          <w:tcPr>
            <w:tcW w:w="2108" w:type="dxa"/>
            <w:tcBorders>
              <w:top w:val="nil"/>
              <w:left w:val="nil"/>
              <w:bottom w:val="nil"/>
              <w:right w:val="nil"/>
            </w:tcBorders>
          </w:tcPr>
          <w:p w14:paraId="649F48A7"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PROF</w:t>
            </w:r>
          </w:p>
        </w:tc>
        <w:tc>
          <w:tcPr>
            <w:tcW w:w="1250" w:type="dxa"/>
            <w:tcBorders>
              <w:top w:val="nil"/>
              <w:left w:val="nil"/>
              <w:bottom w:val="nil"/>
              <w:right w:val="nil"/>
            </w:tcBorders>
          </w:tcPr>
          <w:p w14:paraId="4DB30CE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0.945**</w:t>
            </w:r>
          </w:p>
        </w:tc>
        <w:tc>
          <w:tcPr>
            <w:tcW w:w="1200" w:type="dxa"/>
            <w:tcBorders>
              <w:top w:val="nil"/>
              <w:left w:val="nil"/>
              <w:bottom w:val="nil"/>
              <w:right w:val="nil"/>
            </w:tcBorders>
          </w:tcPr>
          <w:p w14:paraId="6903CD4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1.369***</w:t>
            </w:r>
          </w:p>
        </w:tc>
        <w:tc>
          <w:tcPr>
            <w:tcW w:w="1200" w:type="dxa"/>
            <w:tcBorders>
              <w:top w:val="nil"/>
              <w:left w:val="nil"/>
              <w:bottom w:val="nil"/>
              <w:right w:val="nil"/>
            </w:tcBorders>
          </w:tcPr>
          <w:p w14:paraId="51E69C7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1.282***</w:t>
            </w:r>
          </w:p>
        </w:tc>
        <w:tc>
          <w:tcPr>
            <w:tcW w:w="1200" w:type="dxa"/>
            <w:tcBorders>
              <w:top w:val="nil"/>
              <w:left w:val="nil"/>
              <w:bottom w:val="nil"/>
              <w:right w:val="nil"/>
            </w:tcBorders>
          </w:tcPr>
          <w:p w14:paraId="170E721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1.282**</w:t>
            </w:r>
          </w:p>
        </w:tc>
        <w:tc>
          <w:tcPr>
            <w:tcW w:w="1200" w:type="dxa"/>
            <w:tcBorders>
              <w:top w:val="nil"/>
              <w:left w:val="nil"/>
              <w:bottom w:val="nil"/>
              <w:right w:val="nil"/>
            </w:tcBorders>
          </w:tcPr>
          <w:p w14:paraId="203C319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1.344***</w:t>
            </w:r>
          </w:p>
        </w:tc>
        <w:tc>
          <w:tcPr>
            <w:tcW w:w="1200" w:type="dxa"/>
            <w:tcBorders>
              <w:top w:val="nil"/>
              <w:left w:val="nil"/>
              <w:bottom w:val="nil"/>
              <w:right w:val="nil"/>
            </w:tcBorders>
          </w:tcPr>
          <w:p w14:paraId="4047B8D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-2.025***</w:t>
            </w:r>
          </w:p>
        </w:tc>
        <w:tc>
          <w:tcPr>
            <w:tcW w:w="1200" w:type="dxa"/>
            <w:tcBorders>
              <w:top w:val="nil"/>
              <w:left w:val="nil"/>
              <w:bottom w:val="nil"/>
              <w:right w:val="nil"/>
            </w:tcBorders>
          </w:tcPr>
          <w:p w14:paraId="1A8AC60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-1.764**</w:t>
            </w:r>
          </w:p>
        </w:tc>
        <w:tc>
          <w:tcPr>
            <w:tcW w:w="1200" w:type="dxa"/>
            <w:tcBorders>
              <w:top w:val="nil"/>
              <w:left w:val="nil"/>
              <w:bottom w:val="nil"/>
              <w:right w:val="nil"/>
            </w:tcBorders>
          </w:tcPr>
          <w:p w14:paraId="58DCD88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-1.764**</w:t>
            </w:r>
          </w:p>
        </w:tc>
        <w:tc>
          <w:tcPr>
            <w:tcW w:w="1200" w:type="dxa"/>
            <w:tcBorders>
              <w:top w:val="nil"/>
              <w:left w:val="nil"/>
              <w:bottom w:val="nil"/>
              <w:right w:val="nil"/>
            </w:tcBorders>
          </w:tcPr>
          <w:p w14:paraId="2B6BC44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-0.242</w:t>
            </w:r>
          </w:p>
        </w:tc>
        <w:tc>
          <w:tcPr>
            <w:tcW w:w="1200" w:type="dxa"/>
            <w:tcBorders>
              <w:top w:val="nil"/>
              <w:left w:val="nil"/>
              <w:bottom w:val="nil"/>
              <w:right w:val="nil"/>
            </w:tcBorders>
          </w:tcPr>
          <w:p w14:paraId="6054CC3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1.282***</w:t>
            </w:r>
          </w:p>
        </w:tc>
      </w:tr>
      <w:tr w:rsidR="00797955" w14:paraId="03DCF920" w14:textId="77777777" w:rsidTr="005C0446">
        <w:tc>
          <w:tcPr>
            <w:tcW w:w="2108" w:type="dxa"/>
            <w:tcBorders>
              <w:top w:val="nil"/>
              <w:left w:val="nil"/>
              <w:bottom w:val="nil"/>
              <w:right w:val="nil"/>
            </w:tcBorders>
          </w:tcPr>
          <w:p w14:paraId="70E911DB"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nil"/>
              <w:right w:val="nil"/>
            </w:tcBorders>
          </w:tcPr>
          <w:p w14:paraId="385EF6E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(0.476)</w:t>
            </w:r>
          </w:p>
        </w:tc>
        <w:tc>
          <w:tcPr>
            <w:tcW w:w="1200" w:type="dxa"/>
            <w:tcBorders>
              <w:top w:val="nil"/>
              <w:left w:val="nil"/>
              <w:bottom w:val="nil"/>
              <w:right w:val="nil"/>
            </w:tcBorders>
          </w:tcPr>
          <w:p w14:paraId="2E327E3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(0.298)</w:t>
            </w:r>
          </w:p>
        </w:tc>
        <w:tc>
          <w:tcPr>
            <w:tcW w:w="1200" w:type="dxa"/>
            <w:tcBorders>
              <w:top w:val="nil"/>
              <w:left w:val="nil"/>
              <w:bottom w:val="nil"/>
              <w:right w:val="nil"/>
            </w:tcBorders>
          </w:tcPr>
          <w:p w14:paraId="6221DC3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(0.291)</w:t>
            </w:r>
          </w:p>
        </w:tc>
        <w:tc>
          <w:tcPr>
            <w:tcW w:w="1200" w:type="dxa"/>
            <w:tcBorders>
              <w:top w:val="nil"/>
              <w:left w:val="nil"/>
              <w:bottom w:val="nil"/>
              <w:right w:val="nil"/>
            </w:tcBorders>
          </w:tcPr>
          <w:p w14:paraId="48097BE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(0.417)</w:t>
            </w:r>
          </w:p>
        </w:tc>
        <w:tc>
          <w:tcPr>
            <w:tcW w:w="1200" w:type="dxa"/>
            <w:tcBorders>
              <w:top w:val="nil"/>
              <w:left w:val="nil"/>
              <w:bottom w:val="nil"/>
              <w:right w:val="nil"/>
            </w:tcBorders>
          </w:tcPr>
          <w:p w14:paraId="2EE30B8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(0.295)</w:t>
            </w:r>
          </w:p>
        </w:tc>
        <w:tc>
          <w:tcPr>
            <w:tcW w:w="1200" w:type="dxa"/>
            <w:tcBorders>
              <w:top w:val="nil"/>
              <w:left w:val="nil"/>
              <w:bottom w:val="nil"/>
              <w:right w:val="nil"/>
            </w:tcBorders>
          </w:tcPr>
          <w:p w14:paraId="573F411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(0.714)</w:t>
            </w:r>
          </w:p>
        </w:tc>
        <w:tc>
          <w:tcPr>
            <w:tcW w:w="1200" w:type="dxa"/>
            <w:tcBorders>
              <w:top w:val="nil"/>
              <w:left w:val="nil"/>
              <w:bottom w:val="nil"/>
              <w:right w:val="nil"/>
            </w:tcBorders>
          </w:tcPr>
          <w:p w14:paraId="30B10EE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(0.750)</w:t>
            </w:r>
          </w:p>
        </w:tc>
        <w:tc>
          <w:tcPr>
            <w:tcW w:w="1200" w:type="dxa"/>
            <w:tcBorders>
              <w:top w:val="nil"/>
              <w:left w:val="nil"/>
              <w:bottom w:val="nil"/>
              <w:right w:val="nil"/>
            </w:tcBorders>
          </w:tcPr>
          <w:p w14:paraId="1394D3C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(0.750)</w:t>
            </w:r>
          </w:p>
        </w:tc>
        <w:tc>
          <w:tcPr>
            <w:tcW w:w="1200" w:type="dxa"/>
            <w:tcBorders>
              <w:top w:val="nil"/>
              <w:left w:val="nil"/>
              <w:bottom w:val="nil"/>
              <w:right w:val="nil"/>
            </w:tcBorders>
          </w:tcPr>
          <w:p w14:paraId="4F8D9E2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(0.624)</w:t>
            </w:r>
          </w:p>
        </w:tc>
        <w:tc>
          <w:tcPr>
            <w:tcW w:w="1200" w:type="dxa"/>
            <w:tcBorders>
              <w:top w:val="nil"/>
              <w:left w:val="nil"/>
              <w:bottom w:val="nil"/>
              <w:right w:val="nil"/>
            </w:tcBorders>
          </w:tcPr>
          <w:p w14:paraId="06F86F9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(0.232)</w:t>
            </w:r>
          </w:p>
        </w:tc>
      </w:tr>
      <w:tr w:rsidR="00797955" w14:paraId="4DA06524" w14:textId="77777777" w:rsidTr="005C0446">
        <w:tc>
          <w:tcPr>
            <w:tcW w:w="2108" w:type="dxa"/>
            <w:tcBorders>
              <w:top w:val="nil"/>
              <w:left w:val="nil"/>
              <w:bottom w:val="nil"/>
              <w:right w:val="nil"/>
            </w:tcBorders>
          </w:tcPr>
          <w:p w14:paraId="4F4E063C"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CF</w:t>
            </w:r>
          </w:p>
        </w:tc>
        <w:tc>
          <w:tcPr>
            <w:tcW w:w="1250" w:type="dxa"/>
            <w:tcBorders>
              <w:top w:val="nil"/>
              <w:left w:val="nil"/>
              <w:bottom w:val="nil"/>
              <w:right w:val="nil"/>
            </w:tcBorders>
          </w:tcPr>
          <w:p w14:paraId="7F51FBD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0.035</w:t>
            </w:r>
          </w:p>
        </w:tc>
        <w:tc>
          <w:tcPr>
            <w:tcW w:w="1200" w:type="dxa"/>
            <w:tcBorders>
              <w:top w:val="nil"/>
              <w:left w:val="nil"/>
              <w:bottom w:val="nil"/>
              <w:right w:val="nil"/>
            </w:tcBorders>
          </w:tcPr>
          <w:p w14:paraId="073680D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0.041***</w:t>
            </w:r>
          </w:p>
        </w:tc>
        <w:tc>
          <w:tcPr>
            <w:tcW w:w="1200" w:type="dxa"/>
            <w:tcBorders>
              <w:top w:val="nil"/>
              <w:left w:val="nil"/>
              <w:bottom w:val="nil"/>
              <w:right w:val="nil"/>
            </w:tcBorders>
          </w:tcPr>
          <w:p w14:paraId="50F9214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0.040***</w:t>
            </w:r>
          </w:p>
        </w:tc>
        <w:tc>
          <w:tcPr>
            <w:tcW w:w="1200" w:type="dxa"/>
            <w:tcBorders>
              <w:top w:val="nil"/>
              <w:left w:val="nil"/>
              <w:bottom w:val="nil"/>
              <w:right w:val="nil"/>
            </w:tcBorders>
          </w:tcPr>
          <w:p w14:paraId="007D851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0.040*</w:t>
            </w:r>
          </w:p>
        </w:tc>
        <w:tc>
          <w:tcPr>
            <w:tcW w:w="1200" w:type="dxa"/>
            <w:tcBorders>
              <w:top w:val="nil"/>
              <w:left w:val="nil"/>
              <w:bottom w:val="nil"/>
              <w:right w:val="nil"/>
            </w:tcBorders>
          </w:tcPr>
          <w:p w14:paraId="6A67B25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0.040***</w:t>
            </w:r>
          </w:p>
        </w:tc>
        <w:tc>
          <w:tcPr>
            <w:tcW w:w="1200" w:type="dxa"/>
            <w:tcBorders>
              <w:top w:val="nil"/>
              <w:left w:val="nil"/>
              <w:bottom w:val="nil"/>
              <w:right w:val="nil"/>
            </w:tcBorders>
          </w:tcPr>
          <w:p w14:paraId="2730F45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-0.003</w:t>
            </w:r>
          </w:p>
        </w:tc>
        <w:tc>
          <w:tcPr>
            <w:tcW w:w="1200" w:type="dxa"/>
            <w:tcBorders>
              <w:top w:val="nil"/>
              <w:left w:val="nil"/>
              <w:bottom w:val="nil"/>
              <w:right w:val="nil"/>
            </w:tcBorders>
          </w:tcPr>
          <w:p w14:paraId="1C1B93C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-0.012</w:t>
            </w:r>
          </w:p>
        </w:tc>
        <w:tc>
          <w:tcPr>
            <w:tcW w:w="1200" w:type="dxa"/>
            <w:tcBorders>
              <w:top w:val="nil"/>
              <w:left w:val="nil"/>
              <w:bottom w:val="nil"/>
              <w:right w:val="nil"/>
            </w:tcBorders>
          </w:tcPr>
          <w:p w14:paraId="690082F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-0.012</w:t>
            </w:r>
          </w:p>
        </w:tc>
        <w:tc>
          <w:tcPr>
            <w:tcW w:w="1200" w:type="dxa"/>
            <w:tcBorders>
              <w:top w:val="nil"/>
              <w:left w:val="nil"/>
              <w:bottom w:val="nil"/>
              <w:right w:val="nil"/>
            </w:tcBorders>
          </w:tcPr>
          <w:p w14:paraId="53AD49D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0.023</w:t>
            </w:r>
          </w:p>
        </w:tc>
        <w:tc>
          <w:tcPr>
            <w:tcW w:w="1200" w:type="dxa"/>
            <w:tcBorders>
              <w:top w:val="nil"/>
              <w:left w:val="nil"/>
              <w:bottom w:val="nil"/>
              <w:right w:val="nil"/>
            </w:tcBorders>
          </w:tcPr>
          <w:p w14:paraId="39F6D6E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0.040***</w:t>
            </w:r>
          </w:p>
        </w:tc>
      </w:tr>
      <w:tr w:rsidR="00797955" w14:paraId="1DBFEA01" w14:textId="77777777" w:rsidTr="005C0446">
        <w:tc>
          <w:tcPr>
            <w:tcW w:w="2108" w:type="dxa"/>
            <w:tcBorders>
              <w:top w:val="nil"/>
              <w:left w:val="nil"/>
              <w:bottom w:val="nil"/>
              <w:right w:val="nil"/>
            </w:tcBorders>
          </w:tcPr>
          <w:p w14:paraId="1D54F983"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nil"/>
              <w:right w:val="nil"/>
            </w:tcBorders>
          </w:tcPr>
          <w:p w14:paraId="5FF4CB7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(0.029)</w:t>
            </w:r>
          </w:p>
        </w:tc>
        <w:tc>
          <w:tcPr>
            <w:tcW w:w="1200" w:type="dxa"/>
            <w:tcBorders>
              <w:top w:val="nil"/>
              <w:left w:val="nil"/>
              <w:bottom w:val="nil"/>
              <w:right w:val="nil"/>
            </w:tcBorders>
          </w:tcPr>
          <w:p w14:paraId="4D2F5D6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(0.009)</w:t>
            </w:r>
          </w:p>
        </w:tc>
        <w:tc>
          <w:tcPr>
            <w:tcW w:w="1200" w:type="dxa"/>
            <w:tcBorders>
              <w:top w:val="nil"/>
              <w:left w:val="nil"/>
              <w:bottom w:val="nil"/>
              <w:right w:val="nil"/>
            </w:tcBorders>
          </w:tcPr>
          <w:p w14:paraId="2D1E9D2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(0.009)</w:t>
            </w:r>
          </w:p>
        </w:tc>
        <w:tc>
          <w:tcPr>
            <w:tcW w:w="1200" w:type="dxa"/>
            <w:tcBorders>
              <w:top w:val="nil"/>
              <w:left w:val="nil"/>
              <w:bottom w:val="nil"/>
              <w:right w:val="nil"/>
            </w:tcBorders>
          </w:tcPr>
          <w:p w14:paraId="0A7F69C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(0.019)</w:t>
            </w:r>
          </w:p>
        </w:tc>
        <w:tc>
          <w:tcPr>
            <w:tcW w:w="1200" w:type="dxa"/>
            <w:tcBorders>
              <w:top w:val="nil"/>
              <w:left w:val="nil"/>
              <w:bottom w:val="nil"/>
              <w:right w:val="nil"/>
            </w:tcBorders>
          </w:tcPr>
          <w:p w14:paraId="550A199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(0.009)</w:t>
            </w:r>
          </w:p>
        </w:tc>
        <w:tc>
          <w:tcPr>
            <w:tcW w:w="1200" w:type="dxa"/>
            <w:tcBorders>
              <w:top w:val="nil"/>
              <w:left w:val="nil"/>
              <w:bottom w:val="nil"/>
              <w:right w:val="nil"/>
            </w:tcBorders>
          </w:tcPr>
          <w:p w14:paraId="7F8479F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(0.030)</w:t>
            </w:r>
          </w:p>
        </w:tc>
        <w:tc>
          <w:tcPr>
            <w:tcW w:w="1200" w:type="dxa"/>
            <w:tcBorders>
              <w:top w:val="nil"/>
              <w:left w:val="nil"/>
              <w:bottom w:val="nil"/>
              <w:right w:val="nil"/>
            </w:tcBorders>
          </w:tcPr>
          <w:p w14:paraId="1847D6D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(0.032)</w:t>
            </w:r>
          </w:p>
        </w:tc>
        <w:tc>
          <w:tcPr>
            <w:tcW w:w="1200" w:type="dxa"/>
            <w:tcBorders>
              <w:top w:val="nil"/>
              <w:left w:val="nil"/>
              <w:bottom w:val="nil"/>
              <w:right w:val="nil"/>
            </w:tcBorders>
          </w:tcPr>
          <w:p w14:paraId="1709D55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(0.032)</w:t>
            </w:r>
          </w:p>
        </w:tc>
        <w:tc>
          <w:tcPr>
            <w:tcW w:w="1200" w:type="dxa"/>
            <w:tcBorders>
              <w:top w:val="nil"/>
              <w:left w:val="nil"/>
              <w:bottom w:val="nil"/>
              <w:right w:val="nil"/>
            </w:tcBorders>
          </w:tcPr>
          <w:p w14:paraId="6F4A3F4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(0.015)</w:t>
            </w:r>
          </w:p>
        </w:tc>
        <w:tc>
          <w:tcPr>
            <w:tcW w:w="1200" w:type="dxa"/>
            <w:tcBorders>
              <w:top w:val="nil"/>
              <w:left w:val="nil"/>
              <w:bottom w:val="nil"/>
              <w:right w:val="nil"/>
            </w:tcBorders>
          </w:tcPr>
          <w:p w14:paraId="0E6A440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(0.007)</w:t>
            </w:r>
          </w:p>
        </w:tc>
      </w:tr>
      <w:tr w:rsidR="00797955" w14:paraId="7219EECF" w14:textId="77777777" w:rsidTr="005C0446">
        <w:tc>
          <w:tcPr>
            <w:tcW w:w="2108" w:type="dxa"/>
            <w:tcBorders>
              <w:top w:val="nil"/>
              <w:left w:val="nil"/>
              <w:bottom w:val="nil"/>
              <w:right w:val="nil"/>
            </w:tcBorders>
          </w:tcPr>
          <w:p w14:paraId="6680E3B4"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CORP_TAX</w:t>
            </w:r>
          </w:p>
        </w:tc>
        <w:tc>
          <w:tcPr>
            <w:tcW w:w="1250" w:type="dxa"/>
            <w:tcBorders>
              <w:top w:val="nil"/>
              <w:left w:val="nil"/>
              <w:bottom w:val="nil"/>
              <w:right w:val="nil"/>
            </w:tcBorders>
          </w:tcPr>
          <w:p w14:paraId="79AC6B3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-0.013**</w:t>
            </w:r>
          </w:p>
        </w:tc>
        <w:tc>
          <w:tcPr>
            <w:tcW w:w="1200" w:type="dxa"/>
            <w:tcBorders>
              <w:top w:val="nil"/>
              <w:left w:val="nil"/>
              <w:bottom w:val="nil"/>
              <w:right w:val="nil"/>
            </w:tcBorders>
          </w:tcPr>
          <w:p w14:paraId="6699523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-0.015***</w:t>
            </w:r>
          </w:p>
        </w:tc>
        <w:tc>
          <w:tcPr>
            <w:tcW w:w="1200" w:type="dxa"/>
            <w:tcBorders>
              <w:top w:val="nil"/>
              <w:left w:val="nil"/>
              <w:bottom w:val="nil"/>
              <w:right w:val="nil"/>
            </w:tcBorders>
          </w:tcPr>
          <w:p w14:paraId="22F3643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-0.014**</w:t>
            </w:r>
          </w:p>
        </w:tc>
        <w:tc>
          <w:tcPr>
            <w:tcW w:w="1200" w:type="dxa"/>
            <w:tcBorders>
              <w:top w:val="nil"/>
              <w:left w:val="nil"/>
              <w:bottom w:val="nil"/>
              <w:right w:val="nil"/>
            </w:tcBorders>
          </w:tcPr>
          <w:p w14:paraId="6E595FB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-0.014</w:t>
            </w:r>
          </w:p>
        </w:tc>
        <w:tc>
          <w:tcPr>
            <w:tcW w:w="1200" w:type="dxa"/>
            <w:tcBorders>
              <w:top w:val="nil"/>
              <w:left w:val="nil"/>
              <w:bottom w:val="nil"/>
              <w:right w:val="nil"/>
            </w:tcBorders>
          </w:tcPr>
          <w:p w14:paraId="75B9A40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-0.015***</w:t>
            </w:r>
          </w:p>
        </w:tc>
        <w:tc>
          <w:tcPr>
            <w:tcW w:w="1200" w:type="dxa"/>
            <w:tcBorders>
              <w:top w:val="nil"/>
              <w:left w:val="nil"/>
              <w:bottom w:val="nil"/>
              <w:right w:val="nil"/>
            </w:tcBorders>
          </w:tcPr>
          <w:p w14:paraId="6DD5A0F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0.001</w:t>
            </w:r>
          </w:p>
        </w:tc>
        <w:tc>
          <w:tcPr>
            <w:tcW w:w="1200" w:type="dxa"/>
            <w:tcBorders>
              <w:top w:val="nil"/>
              <w:left w:val="nil"/>
              <w:bottom w:val="nil"/>
              <w:right w:val="nil"/>
            </w:tcBorders>
          </w:tcPr>
          <w:p w14:paraId="378C0AA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-0.000</w:t>
            </w:r>
          </w:p>
        </w:tc>
        <w:tc>
          <w:tcPr>
            <w:tcW w:w="1200" w:type="dxa"/>
            <w:tcBorders>
              <w:top w:val="nil"/>
              <w:left w:val="nil"/>
              <w:bottom w:val="nil"/>
              <w:right w:val="nil"/>
            </w:tcBorders>
          </w:tcPr>
          <w:p w14:paraId="12817F1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-0.000</w:t>
            </w:r>
          </w:p>
        </w:tc>
        <w:tc>
          <w:tcPr>
            <w:tcW w:w="1200" w:type="dxa"/>
            <w:tcBorders>
              <w:top w:val="nil"/>
              <w:left w:val="nil"/>
              <w:bottom w:val="nil"/>
              <w:right w:val="nil"/>
            </w:tcBorders>
          </w:tcPr>
          <w:p w14:paraId="0CF44CD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-0.004</w:t>
            </w:r>
          </w:p>
        </w:tc>
        <w:tc>
          <w:tcPr>
            <w:tcW w:w="1200" w:type="dxa"/>
            <w:tcBorders>
              <w:top w:val="nil"/>
              <w:left w:val="nil"/>
              <w:bottom w:val="nil"/>
              <w:right w:val="nil"/>
            </w:tcBorders>
          </w:tcPr>
          <w:p w14:paraId="1334F7F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-0.014</w:t>
            </w:r>
          </w:p>
        </w:tc>
      </w:tr>
      <w:tr w:rsidR="00797955" w14:paraId="38CAE2B1" w14:textId="77777777" w:rsidTr="005C0446">
        <w:tc>
          <w:tcPr>
            <w:tcW w:w="2108" w:type="dxa"/>
            <w:tcBorders>
              <w:top w:val="nil"/>
              <w:left w:val="nil"/>
              <w:bottom w:val="nil"/>
              <w:right w:val="nil"/>
            </w:tcBorders>
          </w:tcPr>
          <w:p w14:paraId="67EB75DB"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nil"/>
              <w:right w:val="nil"/>
            </w:tcBorders>
          </w:tcPr>
          <w:p w14:paraId="4F1539B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(0.006)</w:t>
            </w:r>
          </w:p>
        </w:tc>
        <w:tc>
          <w:tcPr>
            <w:tcW w:w="1200" w:type="dxa"/>
            <w:tcBorders>
              <w:top w:val="nil"/>
              <w:left w:val="nil"/>
              <w:bottom w:val="nil"/>
              <w:right w:val="nil"/>
            </w:tcBorders>
          </w:tcPr>
          <w:p w14:paraId="7C54BFB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(0.006)</w:t>
            </w:r>
          </w:p>
        </w:tc>
        <w:tc>
          <w:tcPr>
            <w:tcW w:w="1200" w:type="dxa"/>
            <w:tcBorders>
              <w:top w:val="nil"/>
              <w:left w:val="nil"/>
              <w:bottom w:val="nil"/>
              <w:right w:val="nil"/>
            </w:tcBorders>
          </w:tcPr>
          <w:p w14:paraId="5A4B577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(0.006)</w:t>
            </w:r>
          </w:p>
        </w:tc>
        <w:tc>
          <w:tcPr>
            <w:tcW w:w="1200" w:type="dxa"/>
            <w:tcBorders>
              <w:top w:val="nil"/>
              <w:left w:val="nil"/>
              <w:bottom w:val="nil"/>
              <w:right w:val="nil"/>
            </w:tcBorders>
          </w:tcPr>
          <w:p w14:paraId="17688DC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(0.009)</w:t>
            </w:r>
          </w:p>
        </w:tc>
        <w:tc>
          <w:tcPr>
            <w:tcW w:w="1200" w:type="dxa"/>
            <w:tcBorders>
              <w:top w:val="nil"/>
              <w:left w:val="nil"/>
              <w:bottom w:val="nil"/>
              <w:right w:val="nil"/>
            </w:tcBorders>
          </w:tcPr>
          <w:p w14:paraId="2113378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(0.006)</w:t>
            </w:r>
          </w:p>
        </w:tc>
        <w:tc>
          <w:tcPr>
            <w:tcW w:w="1200" w:type="dxa"/>
            <w:tcBorders>
              <w:top w:val="nil"/>
              <w:left w:val="nil"/>
              <w:bottom w:val="nil"/>
              <w:right w:val="nil"/>
            </w:tcBorders>
          </w:tcPr>
          <w:p w14:paraId="7945E6A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(0.008)</w:t>
            </w:r>
          </w:p>
        </w:tc>
        <w:tc>
          <w:tcPr>
            <w:tcW w:w="1200" w:type="dxa"/>
            <w:tcBorders>
              <w:top w:val="nil"/>
              <w:left w:val="nil"/>
              <w:bottom w:val="nil"/>
              <w:right w:val="nil"/>
            </w:tcBorders>
          </w:tcPr>
          <w:p w14:paraId="09AF29E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(0.007)</w:t>
            </w:r>
          </w:p>
        </w:tc>
        <w:tc>
          <w:tcPr>
            <w:tcW w:w="1200" w:type="dxa"/>
            <w:tcBorders>
              <w:top w:val="nil"/>
              <w:left w:val="nil"/>
              <w:bottom w:val="nil"/>
              <w:right w:val="nil"/>
            </w:tcBorders>
          </w:tcPr>
          <w:p w14:paraId="1FE75F7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(0.007)</w:t>
            </w:r>
          </w:p>
        </w:tc>
        <w:tc>
          <w:tcPr>
            <w:tcW w:w="1200" w:type="dxa"/>
            <w:tcBorders>
              <w:top w:val="nil"/>
              <w:left w:val="nil"/>
              <w:bottom w:val="nil"/>
              <w:right w:val="nil"/>
            </w:tcBorders>
          </w:tcPr>
          <w:p w14:paraId="0A45CB7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(0.009)</w:t>
            </w:r>
          </w:p>
        </w:tc>
        <w:tc>
          <w:tcPr>
            <w:tcW w:w="1200" w:type="dxa"/>
            <w:tcBorders>
              <w:top w:val="nil"/>
              <w:left w:val="nil"/>
              <w:bottom w:val="nil"/>
              <w:right w:val="nil"/>
            </w:tcBorders>
          </w:tcPr>
          <w:p w14:paraId="329C7F4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(0.008)</w:t>
            </w:r>
          </w:p>
        </w:tc>
      </w:tr>
      <w:tr w:rsidR="00797955" w14:paraId="48CB78C8" w14:textId="77777777" w:rsidTr="005C0446">
        <w:tc>
          <w:tcPr>
            <w:tcW w:w="2108" w:type="dxa"/>
            <w:tcBorders>
              <w:top w:val="nil"/>
              <w:left w:val="nil"/>
              <w:bottom w:val="nil"/>
              <w:right w:val="nil"/>
            </w:tcBorders>
          </w:tcPr>
          <w:p w14:paraId="5A67605D"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SALES</w:t>
            </w:r>
          </w:p>
        </w:tc>
        <w:tc>
          <w:tcPr>
            <w:tcW w:w="1250" w:type="dxa"/>
            <w:tcBorders>
              <w:top w:val="nil"/>
              <w:left w:val="nil"/>
              <w:bottom w:val="nil"/>
              <w:right w:val="nil"/>
            </w:tcBorders>
          </w:tcPr>
          <w:p w14:paraId="4AE8B53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-0.322</w:t>
            </w:r>
          </w:p>
        </w:tc>
        <w:tc>
          <w:tcPr>
            <w:tcW w:w="1200" w:type="dxa"/>
            <w:tcBorders>
              <w:top w:val="nil"/>
              <w:left w:val="nil"/>
              <w:bottom w:val="nil"/>
              <w:right w:val="nil"/>
            </w:tcBorders>
          </w:tcPr>
          <w:p w14:paraId="5C7DBCC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-0.321</w:t>
            </w:r>
          </w:p>
        </w:tc>
        <w:tc>
          <w:tcPr>
            <w:tcW w:w="1200" w:type="dxa"/>
            <w:tcBorders>
              <w:top w:val="nil"/>
              <w:left w:val="nil"/>
              <w:bottom w:val="nil"/>
              <w:right w:val="nil"/>
            </w:tcBorders>
          </w:tcPr>
          <w:p w14:paraId="5EBEF88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5F521B2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6BE8908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53FD00A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C0DF0E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DDF0A7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60A1FE9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41B145B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r>
      <w:tr w:rsidR="00797955" w14:paraId="6998C5B5" w14:textId="77777777" w:rsidTr="005C0446">
        <w:tc>
          <w:tcPr>
            <w:tcW w:w="2108" w:type="dxa"/>
            <w:tcBorders>
              <w:top w:val="nil"/>
              <w:left w:val="nil"/>
              <w:bottom w:val="nil"/>
              <w:right w:val="nil"/>
            </w:tcBorders>
          </w:tcPr>
          <w:p w14:paraId="40E5768F"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nil"/>
              <w:right w:val="nil"/>
            </w:tcBorders>
          </w:tcPr>
          <w:p w14:paraId="3E0226F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(0.204)</w:t>
            </w:r>
          </w:p>
        </w:tc>
        <w:tc>
          <w:tcPr>
            <w:tcW w:w="1200" w:type="dxa"/>
            <w:tcBorders>
              <w:top w:val="nil"/>
              <w:left w:val="nil"/>
              <w:bottom w:val="nil"/>
              <w:right w:val="nil"/>
            </w:tcBorders>
          </w:tcPr>
          <w:p w14:paraId="739E85F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(0.203)</w:t>
            </w:r>
          </w:p>
        </w:tc>
        <w:tc>
          <w:tcPr>
            <w:tcW w:w="1200" w:type="dxa"/>
            <w:tcBorders>
              <w:top w:val="nil"/>
              <w:left w:val="nil"/>
              <w:bottom w:val="nil"/>
              <w:right w:val="nil"/>
            </w:tcBorders>
          </w:tcPr>
          <w:p w14:paraId="2386F8B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0C00CBD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1599C46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470FE16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47472BA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1062431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4B5982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659A401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r>
      <w:tr w:rsidR="00797955" w14:paraId="4E322636" w14:textId="77777777" w:rsidTr="005C0446">
        <w:tc>
          <w:tcPr>
            <w:tcW w:w="2108" w:type="dxa"/>
            <w:tcBorders>
              <w:top w:val="nil"/>
              <w:left w:val="nil"/>
              <w:bottom w:val="nil"/>
              <w:right w:val="nil"/>
            </w:tcBorders>
          </w:tcPr>
          <w:p w14:paraId="24E5A26C"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PTB</w:t>
            </w:r>
          </w:p>
        </w:tc>
        <w:tc>
          <w:tcPr>
            <w:tcW w:w="1250" w:type="dxa"/>
            <w:tcBorders>
              <w:top w:val="nil"/>
              <w:left w:val="nil"/>
              <w:bottom w:val="nil"/>
              <w:right w:val="nil"/>
            </w:tcBorders>
          </w:tcPr>
          <w:p w14:paraId="1894D1C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0.024</w:t>
            </w:r>
          </w:p>
        </w:tc>
        <w:tc>
          <w:tcPr>
            <w:tcW w:w="1200" w:type="dxa"/>
            <w:tcBorders>
              <w:top w:val="nil"/>
              <w:left w:val="nil"/>
              <w:bottom w:val="nil"/>
              <w:right w:val="nil"/>
            </w:tcBorders>
          </w:tcPr>
          <w:p w14:paraId="20401F7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5703510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3549242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51FBFFF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4B97C23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1802416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994A1B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460D401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055FFB2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r>
      <w:tr w:rsidR="00797955" w14:paraId="7AD46148" w14:textId="77777777" w:rsidTr="005C0446">
        <w:tc>
          <w:tcPr>
            <w:tcW w:w="2108" w:type="dxa"/>
            <w:tcBorders>
              <w:top w:val="nil"/>
              <w:left w:val="nil"/>
              <w:bottom w:val="nil"/>
              <w:right w:val="nil"/>
            </w:tcBorders>
          </w:tcPr>
          <w:p w14:paraId="74F0BDCE"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nil"/>
              <w:right w:val="nil"/>
            </w:tcBorders>
          </w:tcPr>
          <w:p w14:paraId="52AE800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(0.018)</w:t>
            </w:r>
          </w:p>
        </w:tc>
        <w:tc>
          <w:tcPr>
            <w:tcW w:w="1200" w:type="dxa"/>
            <w:tcBorders>
              <w:top w:val="nil"/>
              <w:left w:val="nil"/>
              <w:bottom w:val="nil"/>
              <w:right w:val="nil"/>
            </w:tcBorders>
          </w:tcPr>
          <w:p w14:paraId="0B72272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35547C6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05362E1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0A93606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52E5474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40EC20B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3DAF257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033CB65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4B2C3AB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r>
      <w:tr w:rsidR="00797955" w14:paraId="75E8128F" w14:textId="77777777" w:rsidTr="005C0446">
        <w:tc>
          <w:tcPr>
            <w:tcW w:w="2108" w:type="dxa"/>
            <w:tcBorders>
              <w:top w:val="nil"/>
              <w:left w:val="nil"/>
              <w:bottom w:val="nil"/>
              <w:right w:val="nil"/>
            </w:tcBorders>
          </w:tcPr>
          <w:p w14:paraId="40A4F4DA"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DTE</w:t>
            </w:r>
          </w:p>
        </w:tc>
        <w:tc>
          <w:tcPr>
            <w:tcW w:w="1250" w:type="dxa"/>
            <w:tcBorders>
              <w:top w:val="nil"/>
              <w:left w:val="nil"/>
              <w:bottom w:val="nil"/>
              <w:right w:val="nil"/>
            </w:tcBorders>
          </w:tcPr>
          <w:p w14:paraId="1352260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0.057***</w:t>
            </w:r>
          </w:p>
        </w:tc>
        <w:tc>
          <w:tcPr>
            <w:tcW w:w="1200" w:type="dxa"/>
            <w:tcBorders>
              <w:top w:val="nil"/>
              <w:left w:val="nil"/>
              <w:bottom w:val="nil"/>
              <w:right w:val="nil"/>
            </w:tcBorders>
          </w:tcPr>
          <w:p w14:paraId="518A151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0.062***</w:t>
            </w:r>
          </w:p>
        </w:tc>
        <w:tc>
          <w:tcPr>
            <w:tcW w:w="1200" w:type="dxa"/>
            <w:tcBorders>
              <w:top w:val="nil"/>
              <w:left w:val="nil"/>
              <w:bottom w:val="nil"/>
              <w:right w:val="nil"/>
            </w:tcBorders>
          </w:tcPr>
          <w:p w14:paraId="3958DE5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0.060***</w:t>
            </w:r>
          </w:p>
        </w:tc>
        <w:tc>
          <w:tcPr>
            <w:tcW w:w="1200" w:type="dxa"/>
            <w:tcBorders>
              <w:top w:val="nil"/>
              <w:left w:val="nil"/>
              <w:bottom w:val="nil"/>
              <w:right w:val="nil"/>
            </w:tcBorders>
          </w:tcPr>
          <w:p w14:paraId="215588A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0.060*</w:t>
            </w:r>
          </w:p>
        </w:tc>
        <w:tc>
          <w:tcPr>
            <w:tcW w:w="1200" w:type="dxa"/>
            <w:tcBorders>
              <w:top w:val="nil"/>
              <w:left w:val="nil"/>
              <w:bottom w:val="nil"/>
              <w:right w:val="nil"/>
            </w:tcBorders>
          </w:tcPr>
          <w:p w14:paraId="6968C74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0.060***</w:t>
            </w:r>
          </w:p>
        </w:tc>
        <w:tc>
          <w:tcPr>
            <w:tcW w:w="1200" w:type="dxa"/>
            <w:tcBorders>
              <w:top w:val="nil"/>
              <w:left w:val="nil"/>
              <w:bottom w:val="nil"/>
              <w:right w:val="nil"/>
            </w:tcBorders>
          </w:tcPr>
          <w:p w14:paraId="73B21A1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0.108***</w:t>
            </w:r>
          </w:p>
        </w:tc>
        <w:tc>
          <w:tcPr>
            <w:tcW w:w="1200" w:type="dxa"/>
            <w:tcBorders>
              <w:top w:val="nil"/>
              <w:left w:val="nil"/>
              <w:bottom w:val="nil"/>
              <w:right w:val="nil"/>
            </w:tcBorders>
          </w:tcPr>
          <w:p w14:paraId="129F53F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0.111***</w:t>
            </w:r>
          </w:p>
        </w:tc>
        <w:tc>
          <w:tcPr>
            <w:tcW w:w="1200" w:type="dxa"/>
            <w:tcBorders>
              <w:top w:val="nil"/>
              <w:left w:val="nil"/>
              <w:bottom w:val="nil"/>
              <w:right w:val="nil"/>
            </w:tcBorders>
          </w:tcPr>
          <w:p w14:paraId="05644D4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0.111***</w:t>
            </w:r>
          </w:p>
        </w:tc>
        <w:tc>
          <w:tcPr>
            <w:tcW w:w="1200" w:type="dxa"/>
            <w:tcBorders>
              <w:top w:val="nil"/>
              <w:left w:val="nil"/>
              <w:bottom w:val="nil"/>
              <w:right w:val="nil"/>
            </w:tcBorders>
          </w:tcPr>
          <w:p w14:paraId="73F6230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0.074***</w:t>
            </w:r>
          </w:p>
        </w:tc>
        <w:tc>
          <w:tcPr>
            <w:tcW w:w="1200" w:type="dxa"/>
            <w:tcBorders>
              <w:top w:val="nil"/>
              <w:left w:val="nil"/>
              <w:bottom w:val="nil"/>
              <w:right w:val="nil"/>
            </w:tcBorders>
          </w:tcPr>
          <w:p w14:paraId="44AB2CF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0.060***</w:t>
            </w:r>
          </w:p>
        </w:tc>
      </w:tr>
      <w:tr w:rsidR="00797955" w14:paraId="3E8F12DF" w14:textId="77777777" w:rsidTr="005C0446">
        <w:tc>
          <w:tcPr>
            <w:tcW w:w="2108" w:type="dxa"/>
            <w:tcBorders>
              <w:top w:val="nil"/>
              <w:left w:val="nil"/>
              <w:bottom w:val="nil"/>
              <w:right w:val="nil"/>
            </w:tcBorders>
          </w:tcPr>
          <w:p w14:paraId="631CDF33"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nil"/>
              <w:right w:val="nil"/>
            </w:tcBorders>
          </w:tcPr>
          <w:p w14:paraId="65AB8D0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(0.012)</w:t>
            </w:r>
          </w:p>
        </w:tc>
        <w:tc>
          <w:tcPr>
            <w:tcW w:w="1200" w:type="dxa"/>
            <w:tcBorders>
              <w:top w:val="nil"/>
              <w:left w:val="nil"/>
              <w:bottom w:val="nil"/>
              <w:right w:val="nil"/>
            </w:tcBorders>
          </w:tcPr>
          <w:p w14:paraId="014F30A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(0.012)</w:t>
            </w:r>
          </w:p>
        </w:tc>
        <w:tc>
          <w:tcPr>
            <w:tcW w:w="1200" w:type="dxa"/>
            <w:tcBorders>
              <w:top w:val="nil"/>
              <w:left w:val="nil"/>
              <w:bottom w:val="nil"/>
              <w:right w:val="nil"/>
            </w:tcBorders>
          </w:tcPr>
          <w:p w14:paraId="560A0C9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(0.012)</w:t>
            </w:r>
          </w:p>
        </w:tc>
        <w:tc>
          <w:tcPr>
            <w:tcW w:w="1200" w:type="dxa"/>
            <w:tcBorders>
              <w:top w:val="nil"/>
              <w:left w:val="nil"/>
              <w:bottom w:val="nil"/>
              <w:right w:val="nil"/>
            </w:tcBorders>
          </w:tcPr>
          <w:p w14:paraId="5A93121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(0.026)</w:t>
            </w:r>
          </w:p>
        </w:tc>
        <w:tc>
          <w:tcPr>
            <w:tcW w:w="1200" w:type="dxa"/>
            <w:tcBorders>
              <w:top w:val="nil"/>
              <w:left w:val="nil"/>
              <w:bottom w:val="nil"/>
              <w:right w:val="nil"/>
            </w:tcBorders>
          </w:tcPr>
          <w:p w14:paraId="5729077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(0.012)</w:t>
            </w:r>
          </w:p>
        </w:tc>
        <w:tc>
          <w:tcPr>
            <w:tcW w:w="1200" w:type="dxa"/>
            <w:tcBorders>
              <w:top w:val="nil"/>
              <w:left w:val="nil"/>
              <w:bottom w:val="nil"/>
              <w:right w:val="nil"/>
            </w:tcBorders>
          </w:tcPr>
          <w:p w14:paraId="5C1052A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(0.030)</w:t>
            </w:r>
          </w:p>
        </w:tc>
        <w:tc>
          <w:tcPr>
            <w:tcW w:w="1200" w:type="dxa"/>
            <w:tcBorders>
              <w:top w:val="nil"/>
              <w:left w:val="nil"/>
              <w:bottom w:val="nil"/>
              <w:right w:val="nil"/>
            </w:tcBorders>
          </w:tcPr>
          <w:p w14:paraId="793F6BC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(0.032)</w:t>
            </w:r>
          </w:p>
        </w:tc>
        <w:tc>
          <w:tcPr>
            <w:tcW w:w="1200" w:type="dxa"/>
            <w:tcBorders>
              <w:top w:val="nil"/>
              <w:left w:val="nil"/>
              <w:bottom w:val="nil"/>
              <w:right w:val="nil"/>
            </w:tcBorders>
          </w:tcPr>
          <w:p w14:paraId="11171B2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(0.032)</w:t>
            </w:r>
          </w:p>
        </w:tc>
        <w:tc>
          <w:tcPr>
            <w:tcW w:w="1200" w:type="dxa"/>
            <w:tcBorders>
              <w:top w:val="nil"/>
              <w:left w:val="nil"/>
              <w:bottom w:val="nil"/>
              <w:right w:val="nil"/>
            </w:tcBorders>
          </w:tcPr>
          <w:p w14:paraId="3E79308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(0.023)</w:t>
            </w:r>
          </w:p>
        </w:tc>
        <w:tc>
          <w:tcPr>
            <w:tcW w:w="1200" w:type="dxa"/>
            <w:tcBorders>
              <w:top w:val="nil"/>
              <w:left w:val="nil"/>
              <w:bottom w:val="nil"/>
              <w:right w:val="nil"/>
            </w:tcBorders>
          </w:tcPr>
          <w:p w14:paraId="4A47C64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(0.009)</w:t>
            </w:r>
          </w:p>
        </w:tc>
      </w:tr>
      <w:tr w:rsidR="00797955" w14:paraId="0EB403CF" w14:textId="77777777" w:rsidTr="005C0446">
        <w:tc>
          <w:tcPr>
            <w:tcW w:w="2108" w:type="dxa"/>
            <w:tcBorders>
              <w:top w:val="nil"/>
              <w:left w:val="nil"/>
              <w:bottom w:val="nil"/>
              <w:right w:val="nil"/>
            </w:tcBorders>
          </w:tcPr>
          <w:p w14:paraId="11D3D6DF"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SIZE</w:t>
            </w:r>
          </w:p>
        </w:tc>
        <w:tc>
          <w:tcPr>
            <w:tcW w:w="1250" w:type="dxa"/>
            <w:tcBorders>
              <w:top w:val="nil"/>
              <w:left w:val="nil"/>
              <w:bottom w:val="nil"/>
              <w:right w:val="nil"/>
            </w:tcBorders>
          </w:tcPr>
          <w:p w14:paraId="06E6E50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0.004</w:t>
            </w:r>
          </w:p>
        </w:tc>
        <w:tc>
          <w:tcPr>
            <w:tcW w:w="1200" w:type="dxa"/>
            <w:tcBorders>
              <w:top w:val="nil"/>
              <w:left w:val="nil"/>
              <w:bottom w:val="nil"/>
              <w:right w:val="nil"/>
            </w:tcBorders>
          </w:tcPr>
          <w:p w14:paraId="62ED2A5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3F7E1B8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63F3E92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1F4483D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281AC1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63B2B20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5965D7E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33183BF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43C243E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r>
      <w:tr w:rsidR="00797955" w14:paraId="43DAB470" w14:textId="77777777" w:rsidTr="005C0446">
        <w:tc>
          <w:tcPr>
            <w:tcW w:w="2108" w:type="dxa"/>
            <w:tcBorders>
              <w:top w:val="nil"/>
              <w:left w:val="nil"/>
              <w:bottom w:val="nil"/>
              <w:right w:val="nil"/>
            </w:tcBorders>
          </w:tcPr>
          <w:p w14:paraId="2B02DE96"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nil"/>
              <w:right w:val="nil"/>
            </w:tcBorders>
          </w:tcPr>
          <w:p w14:paraId="2821F7C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(0.031)</w:t>
            </w:r>
          </w:p>
        </w:tc>
        <w:tc>
          <w:tcPr>
            <w:tcW w:w="1200" w:type="dxa"/>
            <w:tcBorders>
              <w:top w:val="nil"/>
              <w:left w:val="nil"/>
              <w:bottom w:val="nil"/>
              <w:right w:val="nil"/>
            </w:tcBorders>
          </w:tcPr>
          <w:p w14:paraId="3A2BA4F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3763CA5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0A55E05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1B8D468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15D83EE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3F1054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7064F9F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6CD766C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1E8DE01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r>
      <w:tr w:rsidR="00797955" w14:paraId="25FBCD1C" w14:textId="77777777" w:rsidTr="005C0446">
        <w:tc>
          <w:tcPr>
            <w:tcW w:w="2108" w:type="dxa"/>
            <w:tcBorders>
              <w:top w:val="nil"/>
              <w:left w:val="nil"/>
              <w:bottom w:val="nil"/>
              <w:right w:val="nil"/>
            </w:tcBorders>
          </w:tcPr>
          <w:p w14:paraId="3848FD9C"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LIFE_CYCLE</w:t>
            </w:r>
          </w:p>
        </w:tc>
        <w:tc>
          <w:tcPr>
            <w:tcW w:w="1250" w:type="dxa"/>
            <w:tcBorders>
              <w:top w:val="nil"/>
              <w:left w:val="nil"/>
              <w:bottom w:val="nil"/>
              <w:right w:val="nil"/>
            </w:tcBorders>
          </w:tcPr>
          <w:p w14:paraId="63362A1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-0.600***</w:t>
            </w:r>
          </w:p>
        </w:tc>
        <w:tc>
          <w:tcPr>
            <w:tcW w:w="1200" w:type="dxa"/>
            <w:tcBorders>
              <w:top w:val="nil"/>
              <w:left w:val="nil"/>
              <w:bottom w:val="nil"/>
              <w:right w:val="nil"/>
            </w:tcBorders>
          </w:tcPr>
          <w:p w14:paraId="2FFA1EE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-0.598***</w:t>
            </w:r>
          </w:p>
        </w:tc>
        <w:tc>
          <w:tcPr>
            <w:tcW w:w="1200" w:type="dxa"/>
            <w:tcBorders>
              <w:top w:val="nil"/>
              <w:left w:val="nil"/>
              <w:bottom w:val="nil"/>
              <w:right w:val="nil"/>
            </w:tcBorders>
          </w:tcPr>
          <w:p w14:paraId="297F8C1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-0.589***</w:t>
            </w:r>
          </w:p>
        </w:tc>
        <w:tc>
          <w:tcPr>
            <w:tcW w:w="1200" w:type="dxa"/>
            <w:tcBorders>
              <w:top w:val="nil"/>
              <w:left w:val="nil"/>
              <w:bottom w:val="nil"/>
              <w:right w:val="nil"/>
            </w:tcBorders>
          </w:tcPr>
          <w:p w14:paraId="1D2ED70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-0.589***</w:t>
            </w:r>
          </w:p>
        </w:tc>
        <w:tc>
          <w:tcPr>
            <w:tcW w:w="1200" w:type="dxa"/>
            <w:tcBorders>
              <w:top w:val="nil"/>
              <w:left w:val="nil"/>
              <w:bottom w:val="nil"/>
              <w:right w:val="nil"/>
            </w:tcBorders>
          </w:tcPr>
          <w:p w14:paraId="28FB0A1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-0.606***</w:t>
            </w:r>
          </w:p>
        </w:tc>
        <w:tc>
          <w:tcPr>
            <w:tcW w:w="1200" w:type="dxa"/>
            <w:tcBorders>
              <w:top w:val="nil"/>
              <w:left w:val="nil"/>
              <w:bottom w:val="nil"/>
              <w:right w:val="nil"/>
            </w:tcBorders>
          </w:tcPr>
          <w:p w14:paraId="41C0090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-0.535***</w:t>
            </w:r>
          </w:p>
        </w:tc>
        <w:tc>
          <w:tcPr>
            <w:tcW w:w="1200" w:type="dxa"/>
            <w:tcBorders>
              <w:top w:val="nil"/>
              <w:left w:val="nil"/>
              <w:bottom w:val="nil"/>
              <w:right w:val="nil"/>
            </w:tcBorders>
          </w:tcPr>
          <w:p w14:paraId="7F27FDA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-0.678***</w:t>
            </w:r>
          </w:p>
        </w:tc>
        <w:tc>
          <w:tcPr>
            <w:tcW w:w="1200" w:type="dxa"/>
            <w:tcBorders>
              <w:top w:val="nil"/>
              <w:left w:val="nil"/>
              <w:bottom w:val="nil"/>
              <w:right w:val="nil"/>
            </w:tcBorders>
          </w:tcPr>
          <w:p w14:paraId="3C39F56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-0.678***</w:t>
            </w:r>
          </w:p>
        </w:tc>
        <w:tc>
          <w:tcPr>
            <w:tcW w:w="1200" w:type="dxa"/>
            <w:tcBorders>
              <w:top w:val="nil"/>
              <w:left w:val="nil"/>
              <w:bottom w:val="nil"/>
              <w:right w:val="nil"/>
            </w:tcBorders>
          </w:tcPr>
          <w:p w14:paraId="1687A00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-0.490***</w:t>
            </w:r>
          </w:p>
        </w:tc>
        <w:tc>
          <w:tcPr>
            <w:tcW w:w="1200" w:type="dxa"/>
            <w:tcBorders>
              <w:top w:val="nil"/>
              <w:left w:val="nil"/>
              <w:bottom w:val="nil"/>
              <w:right w:val="nil"/>
            </w:tcBorders>
          </w:tcPr>
          <w:p w14:paraId="6C12BD7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-0.589***</w:t>
            </w:r>
          </w:p>
        </w:tc>
      </w:tr>
      <w:tr w:rsidR="00797955" w14:paraId="6C20F534" w14:textId="77777777" w:rsidTr="005C0446">
        <w:tc>
          <w:tcPr>
            <w:tcW w:w="2108" w:type="dxa"/>
            <w:tcBorders>
              <w:top w:val="nil"/>
              <w:left w:val="nil"/>
              <w:bottom w:val="nil"/>
              <w:right w:val="nil"/>
            </w:tcBorders>
          </w:tcPr>
          <w:p w14:paraId="47F87247"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nil"/>
              <w:right w:val="nil"/>
            </w:tcBorders>
          </w:tcPr>
          <w:p w14:paraId="2144F61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(0.060)</w:t>
            </w:r>
          </w:p>
        </w:tc>
        <w:tc>
          <w:tcPr>
            <w:tcW w:w="1200" w:type="dxa"/>
            <w:tcBorders>
              <w:top w:val="nil"/>
              <w:left w:val="nil"/>
              <w:bottom w:val="nil"/>
              <w:right w:val="nil"/>
            </w:tcBorders>
          </w:tcPr>
          <w:p w14:paraId="6DA1CA9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(0.060)</w:t>
            </w:r>
          </w:p>
        </w:tc>
        <w:tc>
          <w:tcPr>
            <w:tcW w:w="1200" w:type="dxa"/>
            <w:tcBorders>
              <w:top w:val="nil"/>
              <w:left w:val="nil"/>
              <w:bottom w:val="nil"/>
              <w:right w:val="nil"/>
            </w:tcBorders>
          </w:tcPr>
          <w:p w14:paraId="72E4D9F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(0.059)</w:t>
            </w:r>
          </w:p>
        </w:tc>
        <w:tc>
          <w:tcPr>
            <w:tcW w:w="1200" w:type="dxa"/>
            <w:tcBorders>
              <w:top w:val="nil"/>
              <w:left w:val="nil"/>
              <w:bottom w:val="nil"/>
              <w:right w:val="nil"/>
            </w:tcBorders>
          </w:tcPr>
          <w:p w14:paraId="508AC90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(0.089)</w:t>
            </w:r>
          </w:p>
        </w:tc>
        <w:tc>
          <w:tcPr>
            <w:tcW w:w="1200" w:type="dxa"/>
            <w:tcBorders>
              <w:top w:val="nil"/>
              <w:left w:val="nil"/>
              <w:bottom w:val="nil"/>
              <w:right w:val="nil"/>
            </w:tcBorders>
          </w:tcPr>
          <w:p w14:paraId="774FB5F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(0.059)</w:t>
            </w:r>
          </w:p>
        </w:tc>
        <w:tc>
          <w:tcPr>
            <w:tcW w:w="1200" w:type="dxa"/>
            <w:tcBorders>
              <w:top w:val="nil"/>
              <w:left w:val="nil"/>
              <w:bottom w:val="nil"/>
              <w:right w:val="nil"/>
            </w:tcBorders>
          </w:tcPr>
          <w:p w14:paraId="4805829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(0.161)</w:t>
            </w:r>
          </w:p>
        </w:tc>
        <w:tc>
          <w:tcPr>
            <w:tcW w:w="1200" w:type="dxa"/>
            <w:tcBorders>
              <w:top w:val="nil"/>
              <w:left w:val="nil"/>
              <w:bottom w:val="nil"/>
              <w:right w:val="nil"/>
            </w:tcBorders>
          </w:tcPr>
          <w:p w14:paraId="166F2F5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(0.173)</w:t>
            </w:r>
          </w:p>
        </w:tc>
        <w:tc>
          <w:tcPr>
            <w:tcW w:w="1200" w:type="dxa"/>
            <w:tcBorders>
              <w:top w:val="nil"/>
              <w:left w:val="nil"/>
              <w:bottom w:val="nil"/>
              <w:right w:val="nil"/>
            </w:tcBorders>
          </w:tcPr>
          <w:p w14:paraId="4277488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(0.173)</w:t>
            </w:r>
          </w:p>
        </w:tc>
        <w:tc>
          <w:tcPr>
            <w:tcW w:w="1200" w:type="dxa"/>
            <w:tcBorders>
              <w:top w:val="nil"/>
              <w:left w:val="nil"/>
              <w:bottom w:val="nil"/>
              <w:right w:val="nil"/>
            </w:tcBorders>
          </w:tcPr>
          <w:p w14:paraId="7526914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(0.100)</w:t>
            </w:r>
          </w:p>
        </w:tc>
        <w:tc>
          <w:tcPr>
            <w:tcW w:w="1200" w:type="dxa"/>
            <w:tcBorders>
              <w:top w:val="nil"/>
              <w:left w:val="nil"/>
              <w:bottom w:val="nil"/>
              <w:right w:val="nil"/>
            </w:tcBorders>
          </w:tcPr>
          <w:p w14:paraId="639F2A2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(0.053)</w:t>
            </w:r>
          </w:p>
        </w:tc>
      </w:tr>
      <w:tr w:rsidR="00797955" w14:paraId="6BF47E4C" w14:textId="77777777" w:rsidTr="005C0446">
        <w:tc>
          <w:tcPr>
            <w:tcW w:w="2108" w:type="dxa"/>
            <w:tcBorders>
              <w:top w:val="nil"/>
              <w:left w:val="nil"/>
              <w:bottom w:val="nil"/>
              <w:right w:val="nil"/>
            </w:tcBorders>
          </w:tcPr>
          <w:p w14:paraId="476BC054"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Constant</w:t>
            </w:r>
          </w:p>
        </w:tc>
        <w:tc>
          <w:tcPr>
            <w:tcW w:w="1250" w:type="dxa"/>
            <w:tcBorders>
              <w:top w:val="nil"/>
              <w:left w:val="nil"/>
              <w:bottom w:val="nil"/>
              <w:right w:val="nil"/>
            </w:tcBorders>
          </w:tcPr>
          <w:p w14:paraId="0BBE3AD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-1.230***</w:t>
            </w:r>
          </w:p>
        </w:tc>
        <w:tc>
          <w:tcPr>
            <w:tcW w:w="1200" w:type="dxa"/>
            <w:tcBorders>
              <w:top w:val="nil"/>
              <w:left w:val="nil"/>
              <w:bottom w:val="nil"/>
              <w:right w:val="nil"/>
            </w:tcBorders>
          </w:tcPr>
          <w:p w14:paraId="1BE452A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-1.246***</w:t>
            </w:r>
          </w:p>
        </w:tc>
        <w:tc>
          <w:tcPr>
            <w:tcW w:w="1200" w:type="dxa"/>
            <w:tcBorders>
              <w:top w:val="nil"/>
              <w:left w:val="nil"/>
              <w:bottom w:val="nil"/>
              <w:right w:val="nil"/>
            </w:tcBorders>
          </w:tcPr>
          <w:p w14:paraId="21429C0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-1.242***</w:t>
            </w:r>
          </w:p>
        </w:tc>
        <w:tc>
          <w:tcPr>
            <w:tcW w:w="1200" w:type="dxa"/>
            <w:tcBorders>
              <w:top w:val="nil"/>
              <w:left w:val="nil"/>
              <w:bottom w:val="nil"/>
              <w:right w:val="nil"/>
            </w:tcBorders>
          </w:tcPr>
          <w:p w14:paraId="136821C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-1.242***</w:t>
            </w:r>
          </w:p>
        </w:tc>
        <w:tc>
          <w:tcPr>
            <w:tcW w:w="1200" w:type="dxa"/>
            <w:tcBorders>
              <w:top w:val="nil"/>
              <w:left w:val="nil"/>
              <w:bottom w:val="nil"/>
              <w:right w:val="nil"/>
            </w:tcBorders>
          </w:tcPr>
          <w:p w14:paraId="1CE42DA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-1.184***</w:t>
            </w:r>
          </w:p>
        </w:tc>
        <w:tc>
          <w:tcPr>
            <w:tcW w:w="1200" w:type="dxa"/>
            <w:tcBorders>
              <w:top w:val="nil"/>
              <w:left w:val="nil"/>
              <w:bottom w:val="nil"/>
              <w:right w:val="nil"/>
            </w:tcBorders>
          </w:tcPr>
          <w:p w14:paraId="78B8242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-0.060</w:t>
            </w:r>
          </w:p>
        </w:tc>
        <w:tc>
          <w:tcPr>
            <w:tcW w:w="1200" w:type="dxa"/>
            <w:tcBorders>
              <w:top w:val="nil"/>
              <w:left w:val="nil"/>
              <w:bottom w:val="nil"/>
              <w:right w:val="nil"/>
            </w:tcBorders>
          </w:tcPr>
          <w:p w14:paraId="4B4FC6C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0.200</w:t>
            </w:r>
          </w:p>
        </w:tc>
        <w:tc>
          <w:tcPr>
            <w:tcW w:w="1200" w:type="dxa"/>
            <w:tcBorders>
              <w:top w:val="nil"/>
              <w:left w:val="nil"/>
              <w:bottom w:val="nil"/>
              <w:right w:val="nil"/>
            </w:tcBorders>
          </w:tcPr>
          <w:p w14:paraId="4E88CB2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0.200</w:t>
            </w:r>
          </w:p>
        </w:tc>
        <w:tc>
          <w:tcPr>
            <w:tcW w:w="1200" w:type="dxa"/>
            <w:tcBorders>
              <w:top w:val="nil"/>
              <w:left w:val="nil"/>
              <w:bottom w:val="nil"/>
              <w:right w:val="nil"/>
            </w:tcBorders>
          </w:tcPr>
          <w:p w14:paraId="70E7813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-0.903***</w:t>
            </w:r>
          </w:p>
        </w:tc>
        <w:tc>
          <w:tcPr>
            <w:tcW w:w="1200" w:type="dxa"/>
            <w:tcBorders>
              <w:top w:val="nil"/>
              <w:left w:val="nil"/>
              <w:bottom w:val="nil"/>
              <w:right w:val="nil"/>
            </w:tcBorders>
          </w:tcPr>
          <w:p w14:paraId="7C55358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-1.242***</w:t>
            </w:r>
          </w:p>
        </w:tc>
      </w:tr>
      <w:tr w:rsidR="00797955" w14:paraId="4D072618" w14:textId="77777777" w:rsidTr="005C0446">
        <w:tc>
          <w:tcPr>
            <w:tcW w:w="2108" w:type="dxa"/>
            <w:tcBorders>
              <w:top w:val="nil"/>
              <w:left w:val="nil"/>
              <w:bottom w:val="nil"/>
              <w:right w:val="nil"/>
            </w:tcBorders>
          </w:tcPr>
          <w:p w14:paraId="1D9E113D"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w:t>
            </w:r>
          </w:p>
        </w:tc>
        <w:tc>
          <w:tcPr>
            <w:tcW w:w="1250" w:type="dxa"/>
            <w:tcBorders>
              <w:top w:val="nil"/>
              <w:left w:val="nil"/>
              <w:bottom w:val="nil"/>
              <w:right w:val="nil"/>
            </w:tcBorders>
          </w:tcPr>
          <w:p w14:paraId="54080CB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(0.240)</w:t>
            </w:r>
          </w:p>
        </w:tc>
        <w:tc>
          <w:tcPr>
            <w:tcW w:w="1200" w:type="dxa"/>
            <w:tcBorders>
              <w:top w:val="nil"/>
              <w:left w:val="nil"/>
              <w:bottom w:val="nil"/>
              <w:right w:val="nil"/>
            </w:tcBorders>
          </w:tcPr>
          <w:p w14:paraId="53DD24E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(0.164)</w:t>
            </w:r>
          </w:p>
        </w:tc>
        <w:tc>
          <w:tcPr>
            <w:tcW w:w="1200" w:type="dxa"/>
            <w:tcBorders>
              <w:top w:val="nil"/>
              <w:left w:val="nil"/>
              <w:bottom w:val="nil"/>
              <w:right w:val="nil"/>
            </w:tcBorders>
          </w:tcPr>
          <w:p w14:paraId="65DE340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(0.166)</w:t>
            </w:r>
          </w:p>
        </w:tc>
        <w:tc>
          <w:tcPr>
            <w:tcW w:w="1200" w:type="dxa"/>
            <w:tcBorders>
              <w:top w:val="nil"/>
              <w:left w:val="nil"/>
              <w:bottom w:val="nil"/>
              <w:right w:val="nil"/>
            </w:tcBorders>
          </w:tcPr>
          <w:p w14:paraId="187F80A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(0.291)</w:t>
            </w:r>
          </w:p>
        </w:tc>
        <w:tc>
          <w:tcPr>
            <w:tcW w:w="1200" w:type="dxa"/>
            <w:tcBorders>
              <w:top w:val="nil"/>
              <w:left w:val="nil"/>
              <w:bottom w:val="nil"/>
              <w:right w:val="nil"/>
            </w:tcBorders>
          </w:tcPr>
          <w:p w14:paraId="6E78889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(0.174)</w:t>
            </w:r>
          </w:p>
        </w:tc>
        <w:tc>
          <w:tcPr>
            <w:tcW w:w="1200" w:type="dxa"/>
            <w:tcBorders>
              <w:top w:val="nil"/>
              <w:left w:val="nil"/>
              <w:bottom w:val="nil"/>
              <w:right w:val="nil"/>
            </w:tcBorders>
          </w:tcPr>
          <w:p w14:paraId="211E2DC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(0.571)</w:t>
            </w:r>
          </w:p>
        </w:tc>
        <w:tc>
          <w:tcPr>
            <w:tcW w:w="1200" w:type="dxa"/>
            <w:tcBorders>
              <w:top w:val="nil"/>
              <w:left w:val="nil"/>
              <w:bottom w:val="nil"/>
              <w:right w:val="nil"/>
            </w:tcBorders>
          </w:tcPr>
          <w:p w14:paraId="1DCFFCF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(0.616)</w:t>
            </w:r>
          </w:p>
        </w:tc>
        <w:tc>
          <w:tcPr>
            <w:tcW w:w="1200" w:type="dxa"/>
            <w:tcBorders>
              <w:top w:val="nil"/>
              <w:left w:val="nil"/>
              <w:bottom w:val="nil"/>
              <w:right w:val="nil"/>
            </w:tcBorders>
          </w:tcPr>
          <w:p w14:paraId="4F298F3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(0.616)</w:t>
            </w:r>
          </w:p>
        </w:tc>
        <w:tc>
          <w:tcPr>
            <w:tcW w:w="1200" w:type="dxa"/>
            <w:tcBorders>
              <w:top w:val="nil"/>
              <w:left w:val="nil"/>
              <w:bottom w:val="nil"/>
              <w:right w:val="nil"/>
            </w:tcBorders>
          </w:tcPr>
          <w:p w14:paraId="0867FCE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(0.268)</w:t>
            </w:r>
          </w:p>
        </w:tc>
        <w:tc>
          <w:tcPr>
            <w:tcW w:w="1200" w:type="dxa"/>
            <w:tcBorders>
              <w:top w:val="nil"/>
              <w:left w:val="nil"/>
              <w:bottom w:val="nil"/>
              <w:right w:val="nil"/>
            </w:tcBorders>
          </w:tcPr>
          <w:p w14:paraId="185D440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(0.085)</w:t>
            </w:r>
          </w:p>
        </w:tc>
      </w:tr>
      <w:tr w:rsidR="00797955" w14:paraId="2D0934AB" w14:textId="77777777" w:rsidTr="005C0446">
        <w:tc>
          <w:tcPr>
            <w:tcW w:w="2108" w:type="dxa"/>
            <w:tcBorders>
              <w:top w:val="nil"/>
              <w:left w:val="nil"/>
              <w:bottom w:val="nil"/>
              <w:right w:val="nil"/>
            </w:tcBorders>
          </w:tcPr>
          <w:p w14:paraId="264D3BFD"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p>
        </w:tc>
        <w:tc>
          <w:tcPr>
            <w:tcW w:w="1250" w:type="dxa"/>
            <w:tcBorders>
              <w:top w:val="nil"/>
              <w:left w:val="nil"/>
              <w:bottom w:val="nil"/>
              <w:right w:val="nil"/>
            </w:tcBorders>
          </w:tcPr>
          <w:p w14:paraId="7C03278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00F94D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10CD1A0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76C3AF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7E1DCC1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582BBCC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0F665D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27AD44B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3D31098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bottom w:val="nil"/>
              <w:right w:val="nil"/>
            </w:tcBorders>
          </w:tcPr>
          <w:p w14:paraId="1D464D1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r>
      <w:tr w:rsidR="00797955" w14:paraId="1B83BCB2" w14:textId="77777777" w:rsidTr="005C0446">
        <w:tc>
          <w:tcPr>
            <w:tcW w:w="2108" w:type="dxa"/>
            <w:tcBorders>
              <w:top w:val="nil"/>
              <w:left w:val="nil"/>
              <w:bottom w:val="nil"/>
              <w:right w:val="nil"/>
            </w:tcBorders>
          </w:tcPr>
          <w:p w14:paraId="55364382"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Year</w:t>
            </w:r>
          </w:p>
        </w:tc>
        <w:tc>
          <w:tcPr>
            <w:tcW w:w="1250" w:type="dxa"/>
            <w:tcBorders>
              <w:top w:val="nil"/>
              <w:left w:val="nil"/>
              <w:bottom w:val="nil"/>
              <w:right w:val="nil"/>
            </w:tcBorders>
          </w:tcPr>
          <w:p w14:paraId="1DC8C5B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3A54ED9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672CA9D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377C054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2BE357C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yes</w:t>
            </w:r>
          </w:p>
        </w:tc>
        <w:tc>
          <w:tcPr>
            <w:tcW w:w="1200" w:type="dxa"/>
            <w:tcBorders>
              <w:top w:val="nil"/>
              <w:left w:val="nil"/>
              <w:bottom w:val="nil"/>
              <w:right w:val="nil"/>
            </w:tcBorders>
          </w:tcPr>
          <w:p w14:paraId="4BAB1EB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7EC75AB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yes</w:t>
            </w:r>
          </w:p>
        </w:tc>
        <w:tc>
          <w:tcPr>
            <w:tcW w:w="1200" w:type="dxa"/>
            <w:tcBorders>
              <w:top w:val="nil"/>
              <w:left w:val="nil"/>
              <w:bottom w:val="nil"/>
              <w:right w:val="nil"/>
            </w:tcBorders>
          </w:tcPr>
          <w:p w14:paraId="40F08D8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yes</w:t>
            </w:r>
          </w:p>
        </w:tc>
        <w:tc>
          <w:tcPr>
            <w:tcW w:w="1200" w:type="dxa"/>
            <w:tcBorders>
              <w:top w:val="nil"/>
              <w:left w:val="nil"/>
              <w:bottom w:val="nil"/>
              <w:right w:val="nil"/>
            </w:tcBorders>
          </w:tcPr>
          <w:p w14:paraId="6771521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01685B5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r>
      <w:tr w:rsidR="00797955" w14:paraId="33D9F42D" w14:textId="77777777" w:rsidTr="005C0446">
        <w:tc>
          <w:tcPr>
            <w:tcW w:w="2108" w:type="dxa"/>
            <w:tcBorders>
              <w:top w:val="nil"/>
              <w:left w:val="nil"/>
              <w:bottom w:val="nil"/>
              <w:right w:val="nil"/>
            </w:tcBorders>
          </w:tcPr>
          <w:p w14:paraId="27EAA7B9"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Firm</w:t>
            </w:r>
          </w:p>
        </w:tc>
        <w:tc>
          <w:tcPr>
            <w:tcW w:w="1250" w:type="dxa"/>
            <w:tcBorders>
              <w:top w:val="nil"/>
              <w:left w:val="nil"/>
              <w:bottom w:val="nil"/>
              <w:right w:val="nil"/>
            </w:tcBorders>
          </w:tcPr>
          <w:p w14:paraId="703125E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28871DB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628CBA9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4BDF386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4D82AEF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297E14E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yes</w:t>
            </w:r>
          </w:p>
        </w:tc>
        <w:tc>
          <w:tcPr>
            <w:tcW w:w="1200" w:type="dxa"/>
            <w:tcBorders>
              <w:top w:val="nil"/>
              <w:left w:val="nil"/>
              <w:bottom w:val="nil"/>
              <w:right w:val="nil"/>
            </w:tcBorders>
          </w:tcPr>
          <w:p w14:paraId="64F4314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yes</w:t>
            </w:r>
          </w:p>
        </w:tc>
        <w:tc>
          <w:tcPr>
            <w:tcW w:w="1200" w:type="dxa"/>
            <w:tcBorders>
              <w:top w:val="nil"/>
              <w:left w:val="nil"/>
              <w:bottom w:val="nil"/>
              <w:right w:val="nil"/>
            </w:tcBorders>
          </w:tcPr>
          <w:p w14:paraId="0713C22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yes</w:t>
            </w:r>
          </w:p>
        </w:tc>
        <w:tc>
          <w:tcPr>
            <w:tcW w:w="1200" w:type="dxa"/>
            <w:tcBorders>
              <w:top w:val="nil"/>
              <w:left w:val="nil"/>
              <w:bottom w:val="nil"/>
              <w:right w:val="nil"/>
            </w:tcBorders>
          </w:tcPr>
          <w:p w14:paraId="1C0BCC4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bottom w:val="nil"/>
              <w:right w:val="nil"/>
            </w:tcBorders>
          </w:tcPr>
          <w:p w14:paraId="0BA77FA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r>
      <w:tr w:rsidR="00797955" w14:paraId="0AA20AA9" w14:textId="77777777" w:rsidTr="005C0446">
        <w:tc>
          <w:tcPr>
            <w:tcW w:w="2108" w:type="dxa"/>
            <w:tcBorders>
              <w:top w:val="nil"/>
              <w:left w:val="nil"/>
              <w:right w:val="nil"/>
            </w:tcBorders>
          </w:tcPr>
          <w:p w14:paraId="4B794481"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Sector</w:t>
            </w:r>
          </w:p>
        </w:tc>
        <w:tc>
          <w:tcPr>
            <w:tcW w:w="1250" w:type="dxa"/>
            <w:tcBorders>
              <w:top w:val="nil"/>
              <w:left w:val="nil"/>
              <w:right w:val="nil"/>
            </w:tcBorders>
          </w:tcPr>
          <w:p w14:paraId="0645E0C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41CC286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5037AF0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034323D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41C2F00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6E803A1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4840FED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007C3A9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yes</w:t>
            </w:r>
          </w:p>
        </w:tc>
        <w:tc>
          <w:tcPr>
            <w:tcW w:w="1200" w:type="dxa"/>
            <w:tcBorders>
              <w:top w:val="nil"/>
              <w:left w:val="nil"/>
              <w:right w:val="nil"/>
            </w:tcBorders>
          </w:tcPr>
          <w:p w14:paraId="38E19D0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4253243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r>
      <w:tr w:rsidR="00797955" w14:paraId="6CFD28A1" w14:textId="77777777" w:rsidTr="005C0446">
        <w:tc>
          <w:tcPr>
            <w:tcW w:w="2108" w:type="dxa"/>
            <w:tcBorders>
              <w:top w:val="nil"/>
              <w:left w:val="nil"/>
              <w:right w:val="nil"/>
            </w:tcBorders>
          </w:tcPr>
          <w:p w14:paraId="057FA85A"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Country</w:t>
            </w:r>
          </w:p>
        </w:tc>
        <w:tc>
          <w:tcPr>
            <w:tcW w:w="1250" w:type="dxa"/>
            <w:tcBorders>
              <w:top w:val="nil"/>
              <w:left w:val="nil"/>
              <w:right w:val="nil"/>
            </w:tcBorders>
          </w:tcPr>
          <w:p w14:paraId="0D6A259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3C30E1B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3A508E8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3F79022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20553B1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00C974F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4B981E3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25CCD81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yes</w:t>
            </w:r>
          </w:p>
        </w:tc>
        <w:tc>
          <w:tcPr>
            <w:tcW w:w="1200" w:type="dxa"/>
            <w:tcBorders>
              <w:top w:val="nil"/>
              <w:left w:val="nil"/>
              <w:right w:val="nil"/>
            </w:tcBorders>
          </w:tcPr>
          <w:p w14:paraId="3E8AA5B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c>
          <w:tcPr>
            <w:tcW w:w="1200" w:type="dxa"/>
            <w:tcBorders>
              <w:top w:val="nil"/>
              <w:left w:val="nil"/>
              <w:right w:val="nil"/>
            </w:tcBorders>
          </w:tcPr>
          <w:p w14:paraId="6803987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no</w:t>
            </w:r>
          </w:p>
        </w:tc>
      </w:tr>
      <w:tr w:rsidR="00797955" w14:paraId="5FA805E3" w14:textId="77777777" w:rsidTr="005C0446">
        <w:tc>
          <w:tcPr>
            <w:tcW w:w="2108" w:type="dxa"/>
            <w:tcBorders>
              <w:top w:val="nil"/>
              <w:left w:val="nil"/>
              <w:right w:val="nil"/>
            </w:tcBorders>
          </w:tcPr>
          <w:p w14:paraId="470C9E0D"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p>
        </w:tc>
        <w:tc>
          <w:tcPr>
            <w:tcW w:w="1250" w:type="dxa"/>
            <w:tcBorders>
              <w:top w:val="nil"/>
              <w:left w:val="nil"/>
              <w:right w:val="nil"/>
            </w:tcBorders>
          </w:tcPr>
          <w:p w14:paraId="4A18326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right w:val="nil"/>
            </w:tcBorders>
          </w:tcPr>
          <w:p w14:paraId="1D52D03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right w:val="nil"/>
            </w:tcBorders>
          </w:tcPr>
          <w:p w14:paraId="0D0BBC29"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right w:val="nil"/>
            </w:tcBorders>
          </w:tcPr>
          <w:p w14:paraId="163E180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right w:val="nil"/>
            </w:tcBorders>
          </w:tcPr>
          <w:p w14:paraId="672BD78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right w:val="nil"/>
            </w:tcBorders>
          </w:tcPr>
          <w:p w14:paraId="17F7FE82"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right w:val="nil"/>
            </w:tcBorders>
          </w:tcPr>
          <w:p w14:paraId="1FEB780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right w:val="nil"/>
            </w:tcBorders>
          </w:tcPr>
          <w:p w14:paraId="2767696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right w:val="nil"/>
            </w:tcBorders>
          </w:tcPr>
          <w:p w14:paraId="4542456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c>
          <w:tcPr>
            <w:tcW w:w="1200" w:type="dxa"/>
            <w:tcBorders>
              <w:top w:val="nil"/>
              <w:left w:val="nil"/>
              <w:right w:val="nil"/>
            </w:tcBorders>
          </w:tcPr>
          <w:p w14:paraId="1A6CEC0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p>
        </w:tc>
      </w:tr>
      <w:tr w:rsidR="00797955" w14:paraId="6D04C793" w14:textId="77777777" w:rsidTr="005C0446">
        <w:tc>
          <w:tcPr>
            <w:tcW w:w="2108" w:type="dxa"/>
            <w:tcBorders>
              <w:top w:val="nil"/>
              <w:left w:val="nil"/>
              <w:bottom w:val="nil"/>
              <w:right w:val="nil"/>
            </w:tcBorders>
          </w:tcPr>
          <w:p w14:paraId="4BF6AF87"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Obs.</w:t>
            </w:r>
          </w:p>
        </w:tc>
        <w:tc>
          <w:tcPr>
            <w:tcW w:w="1250" w:type="dxa"/>
            <w:tcBorders>
              <w:top w:val="nil"/>
              <w:left w:val="nil"/>
              <w:bottom w:val="nil"/>
              <w:right w:val="nil"/>
            </w:tcBorders>
          </w:tcPr>
          <w:p w14:paraId="51B8B49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c>
          <w:tcPr>
            <w:tcW w:w="1200" w:type="dxa"/>
            <w:tcBorders>
              <w:top w:val="nil"/>
              <w:left w:val="nil"/>
              <w:bottom w:val="nil"/>
              <w:right w:val="nil"/>
            </w:tcBorders>
          </w:tcPr>
          <w:p w14:paraId="35F604C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c>
          <w:tcPr>
            <w:tcW w:w="1200" w:type="dxa"/>
            <w:tcBorders>
              <w:top w:val="nil"/>
              <w:left w:val="nil"/>
              <w:bottom w:val="nil"/>
              <w:right w:val="nil"/>
            </w:tcBorders>
          </w:tcPr>
          <w:p w14:paraId="3A2288B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c>
          <w:tcPr>
            <w:tcW w:w="1200" w:type="dxa"/>
            <w:tcBorders>
              <w:top w:val="nil"/>
              <w:left w:val="nil"/>
              <w:bottom w:val="nil"/>
              <w:right w:val="nil"/>
            </w:tcBorders>
          </w:tcPr>
          <w:p w14:paraId="59E4557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c>
          <w:tcPr>
            <w:tcW w:w="1200" w:type="dxa"/>
            <w:tcBorders>
              <w:top w:val="nil"/>
              <w:left w:val="nil"/>
              <w:bottom w:val="nil"/>
              <w:right w:val="nil"/>
            </w:tcBorders>
          </w:tcPr>
          <w:p w14:paraId="27B050F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c>
          <w:tcPr>
            <w:tcW w:w="1200" w:type="dxa"/>
            <w:tcBorders>
              <w:top w:val="nil"/>
              <w:left w:val="nil"/>
              <w:bottom w:val="nil"/>
              <w:right w:val="nil"/>
            </w:tcBorders>
          </w:tcPr>
          <w:p w14:paraId="321DC75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c>
          <w:tcPr>
            <w:tcW w:w="1200" w:type="dxa"/>
            <w:tcBorders>
              <w:top w:val="nil"/>
              <w:left w:val="nil"/>
              <w:bottom w:val="nil"/>
              <w:right w:val="nil"/>
            </w:tcBorders>
          </w:tcPr>
          <w:p w14:paraId="3B74A79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c>
          <w:tcPr>
            <w:tcW w:w="1200" w:type="dxa"/>
            <w:tcBorders>
              <w:top w:val="nil"/>
              <w:left w:val="nil"/>
              <w:bottom w:val="nil"/>
              <w:right w:val="nil"/>
            </w:tcBorders>
          </w:tcPr>
          <w:p w14:paraId="054D85E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c>
          <w:tcPr>
            <w:tcW w:w="1200" w:type="dxa"/>
            <w:tcBorders>
              <w:top w:val="nil"/>
              <w:left w:val="nil"/>
              <w:bottom w:val="nil"/>
              <w:right w:val="nil"/>
            </w:tcBorders>
          </w:tcPr>
          <w:p w14:paraId="0A15A33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c>
          <w:tcPr>
            <w:tcW w:w="1200" w:type="dxa"/>
            <w:tcBorders>
              <w:top w:val="nil"/>
              <w:left w:val="nil"/>
              <w:bottom w:val="nil"/>
              <w:right w:val="nil"/>
            </w:tcBorders>
          </w:tcPr>
          <w:p w14:paraId="7B2246D8"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1356</w:t>
            </w:r>
          </w:p>
        </w:tc>
      </w:tr>
      <w:tr w:rsidR="00797955" w14:paraId="03AE3B4D" w14:textId="77777777" w:rsidTr="005C0446">
        <w:tc>
          <w:tcPr>
            <w:tcW w:w="2108" w:type="dxa"/>
            <w:tcBorders>
              <w:top w:val="nil"/>
              <w:left w:val="nil"/>
              <w:bottom w:val="nil"/>
              <w:right w:val="nil"/>
            </w:tcBorders>
          </w:tcPr>
          <w:p w14:paraId="6B693D06"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R-squared </w:t>
            </w:r>
          </w:p>
        </w:tc>
        <w:tc>
          <w:tcPr>
            <w:tcW w:w="1250" w:type="dxa"/>
            <w:tcBorders>
              <w:top w:val="nil"/>
              <w:left w:val="nil"/>
              <w:bottom w:val="nil"/>
              <w:right w:val="nil"/>
            </w:tcBorders>
          </w:tcPr>
          <w:p w14:paraId="3F56FB4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0.129</w:t>
            </w:r>
          </w:p>
        </w:tc>
        <w:tc>
          <w:tcPr>
            <w:tcW w:w="1200" w:type="dxa"/>
            <w:tcBorders>
              <w:top w:val="nil"/>
              <w:left w:val="nil"/>
              <w:bottom w:val="nil"/>
              <w:right w:val="nil"/>
            </w:tcBorders>
          </w:tcPr>
          <w:p w14:paraId="06F3970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0.128</w:t>
            </w:r>
          </w:p>
        </w:tc>
        <w:tc>
          <w:tcPr>
            <w:tcW w:w="1200" w:type="dxa"/>
            <w:tcBorders>
              <w:top w:val="nil"/>
              <w:left w:val="nil"/>
              <w:bottom w:val="nil"/>
              <w:right w:val="nil"/>
            </w:tcBorders>
          </w:tcPr>
          <w:p w14:paraId="49F4FFF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0.114</w:t>
            </w:r>
          </w:p>
        </w:tc>
        <w:tc>
          <w:tcPr>
            <w:tcW w:w="1200" w:type="dxa"/>
            <w:tcBorders>
              <w:top w:val="nil"/>
              <w:left w:val="nil"/>
              <w:bottom w:val="nil"/>
              <w:right w:val="nil"/>
            </w:tcBorders>
          </w:tcPr>
          <w:p w14:paraId="570D8C1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0.114</w:t>
            </w:r>
          </w:p>
        </w:tc>
        <w:tc>
          <w:tcPr>
            <w:tcW w:w="1200" w:type="dxa"/>
            <w:tcBorders>
              <w:top w:val="nil"/>
              <w:left w:val="nil"/>
              <w:bottom w:val="nil"/>
              <w:right w:val="nil"/>
            </w:tcBorders>
          </w:tcPr>
          <w:p w14:paraId="3DC3250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0.126</w:t>
            </w:r>
          </w:p>
        </w:tc>
        <w:tc>
          <w:tcPr>
            <w:tcW w:w="1200" w:type="dxa"/>
            <w:tcBorders>
              <w:top w:val="nil"/>
              <w:left w:val="nil"/>
              <w:bottom w:val="nil"/>
              <w:right w:val="nil"/>
            </w:tcBorders>
          </w:tcPr>
          <w:p w14:paraId="026FF72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0.490</w:t>
            </w:r>
          </w:p>
        </w:tc>
        <w:tc>
          <w:tcPr>
            <w:tcW w:w="1200" w:type="dxa"/>
            <w:tcBorders>
              <w:top w:val="nil"/>
              <w:left w:val="nil"/>
              <w:bottom w:val="nil"/>
              <w:right w:val="nil"/>
            </w:tcBorders>
          </w:tcPr>
          <w:p w14:paraId="1C6A425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0.501</w:t>
            </w:r>
          </w:p>
        </w:tc>
        <w:tc>
          <w:tcPr>
            <w:tcW w:w="1200" w:type="dxa"/>
            <w:tcBorders>
              <w:top w:val="nil"/>
              <w:left w:val="nil"/>
              <w:bottom w:val="nil"/>
              <w:right w:val="nil"/>
            </w:tcBorders>
          </w:tcPr>
          <w:p w14:paraId="337F673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0.501</w:t>
            </w:r>
          </w:p>
        </w:tc>
        <w:tc>
          <w:tcPr>
            <w:tcW w:w="1200" w:type="dxa"/>
            <w:tcBorders>
              <w:top w:val="nil"/>
              <w:left w:val="nil"/>
              <w:bottom w:val="nil"/>
              <w:right w:val="nil"/>
            </w:tcBorders>
          </w:tcPr>
          <w:p w14:paraId="39A7532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w:t>
            </w:r>
          </w:p>
        </w:tc>
        <w:tc>
          <w:tcPr>
            <w:tcW w:w="1200" w:type="dxa"/>
            <w:tcBorders>
              <w:top w:val="nil"/>
              <w:left w:val="nil"/>
              <w:bottom w:val="nil"/>
              <w:right w:val="nil"/>
            </w:tcBorders>
          </w:tcPr>
          <w:p w14:paraId="632E563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0.114</w:t>
            </w:r>
          </w:p>
        </w:tc>
      </w:tr>
      <w:tr w:rsidR="00797955" w14:paraId="0E47CE89" w14:textId="77777777" w:rsidTr="005C0446">
        <w:tc>
          <w:tcPr>
            <w:tcW w:w="2108" w:type="dxa"/>
            <w:tcBorders>
              <w:top w:val="nil"/>
              <w:left w:val="nil"/>
              <w:bottom w:val="nil"/>
              <w:right w:val="nil"/>
            </w:tcBorders>
          </w:tcPr>
          <w:p w14:paraId="4E2598BE"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Adjusted R-squared</w:t>
            </w:r>
          </w:p>
        </w:tc>
        <w:tc>
          <w:tcPr>
            <w:tcW w:w="1250" w:type="dxa"/>
            <w:tcBorders>
              <w:top w:val="nil"/>
              <w:left w:val="nil"/>
              <w:bottom w:val="nil"/>
              <w:right w:val="nil"/>
            </w:tcBorders>
          </w:tcPr>
          <w:p w14:paraId="13618B7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0.124</w:t>
            </w:r>
          </w:p>
        </w:tc>
        <w:tc>
          <w:tcPr>
            <w:tcW w:w="1200" w:type="dxa"/>
            <w:tcBorders>
              <w:top w:val="nil"/>
              <w:left w:val="nil"/>
              <w:bottom w:val="nil"/>
              <w:right w:val="nil"/>
            </w:tcBorders>
          </w:tcPr>
          <w:p w14:paraId="203010ED"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0.124</w:t>
            </w:r>
          </w:p>
        </w:tc>
        <w:tc>
          <w:tcPr>
            <w:tcW w:w="1200" w:type="dxa"/>
            <w:tcBorders>
              <w:top w:val="nil"/>
              <w:left w:val="nil"/>
              <w:bottom w:val="nil"/>
              <w:right w:val="nil"/>
            </w:tcBorders>
          </w:tcPr>
          <w:p w14:paraId="6F060C84"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0.110</w:t>
            </w:r>
          </w:p>
        </w:tc>
        <w:tc>
          <w:tcPr>
            <w:tcW w:w="1200" w:type="dxa"/>
            <w:tcBorders>
              <w:top w:val="nil"/>
              <w:left w:val="nil"/>
              <w:bottom w:val="nil"/>
              <w:right w:val="nil"/>
            </w:tcBorders>
          </w:tcPr>
          <w:p w14:paraId="561B1B8A"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0.110</w:t>
            </w:r>
          </w:p>
        </w:tc>
        <w:tc>
          <w:tcPr>
            <w:tcW w:w="1200" w:type="dxa"/>
            <w:tcBorders>
              <w:top w:val="nil"/>
              <w:left w:val="nil"/>
              <w:bottom w:val="nil"/>
              <w:right w:val="nil"/>
            </w:tcBorders>
          </w:tcPr>
          <w:p w14:paraId="68FC531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0.117</w:t>
            </w:r>
          </w:p>
        </w:tc>
        <w:tc>
          <w:tcPr>
            <w:tcW w:w="1200" w:type="dxa"/>
            <w:tcBorders>
              <w:top w:val="nil"/>
              <w:left w:val="nil"/>
              <w:bottom w:val="nil"/>
              <w:right w:val="nil"/>
            </w:tcBorders>
          </w:tcPr>
          <w:p w14:paraId="330BE6DB"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0.421</w:t>
            </w:r>
          </w:p>
        </w:tc>
        <w:tc>
          <w:tcPr>
            <w:tcW w:w="1200" w:type="dxa"/>
            <w:tcBorders>
              <w:top w:val="nil"/>
              <w:left w:val="nil"/>
              <w:bottom w:val="nil"/>
              <w:right w:val="nil"/>
            </w:tcBorders>
          </w:tcPr>
          <w:p w14:paraId="6AA42910"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0.430</w:t>
            </w:r>
          </w:p>
        </w:tc>
        <w:tc>
          <w:tcPr>
            <w:tcW w:w="1200" w:type="dxa"/>
            <w:tcBorders>
              <w:top w:val="nil"/>
              <w:left w:val="nil"/>
              <w:bottom w:val="nil"/>
              <w:right w:val="nil"/>
            </w:tcBorders>
          </w:tcPr>
          <w:p w14:paraId="36C82BE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0.430</w:t>
            </w:r>
          </w:p>
        </w:tc>
        <w:tc>
          <w:tcPr>
            <w:tcW w:w="1200" w:type="dxa"/>
            <w:tcBorders>
              <w:top w:val="nil"/>
              <w:left w:val="nil"/>
              <w:bottom w:val="nil"/>
              <w:right w:val="nil"/>
            </w:tcBorders>
          </w:tcPr>
          <w:p w14:paraId="3849BFC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w:t>
            </w:r>
          </w:p>
        </w:tc>
        <w:tc>
          <w:tcPr>
            <w:tcW w:w="1200" w:type="dxa"/>
            <w:tcBorders>
              <w:top w:val="nil"/>
              <w:left w:val="nil"/>
              <w:bottom w:val="nil"/>
              <w:right w:val="nil"/>
            </w:tcBorders>
          </w:tcPr>
          <w:p w14:paraId="004FBE65"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w:t>
            </w:r>
          </w:p>
        </w:tc>
      </w:tr>
      <w:tr w:rsidR="00797955" w14:paraId="3165906D" w14:textId="77777777" w:rsidTr="005C0446">
        <w:tc>
          <w:tcPr>
            <w:tcW w:w="2108" w:type="dxa"/>
            <w:tcBorders>
              <w:top w:val="nil"/>
              <w:left w:val="nil"/>
              <w:bottom w:val="nil"/>
              <w:right w:val="nil"/>
            </w:tcBorders>
          </w:tcPr>
          <w:p w14:paraId="73CB06D4" w14:textId="77777777" w:rsidR="00797955" w:rsidRDefault="00797955" w:rsidP="005C0446">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F</w:t>
            </w:r>
          </w:p>
        </w:tc>
        <w:tc>
          <w:tcPr>
            <w:tcW w:w="1250" w:type="dxa"/>
            <w:tcBorders>
              <w:top w:val="nil"/>
              <w:left w:val="nil"/>
              <w:bottom w:val="nil"/>
              <w:right w:val="nil"/>
            </w:tcBorders>
          </w:tcPr>
          <w:p w14:paraId="4ED1EFE7"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23.190</w:t>
            </w:r>
          </w:p>
        </w:tc>
        <w:tc>
          <w:tcPr>
            <w:tcW w:w="1200" w:type="dxa"/>
            <w:tcBorders>
              <w:top w:val="nil"/>
              <w:left w:val="nil"/>
              <w:bottom w:val="nil"/>
              <w:right w:val="nil"/>
            </w:tcBorders>
          </w:tcPr>
          <w:p w14:paraId="66ED4AC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30.905</w:t>
            </w:r>
          </w:p>
        </w:tc>
        <w:tc>
          <w:tcPr>
            <w:tcW w:w="1200" w:type="dxa"/>
            <w:tcBorders>
              <w:top w:val="nil"/>
              <w:left w:val="nil"/>
              <w:bottom w:val="nil"/>
              <w:right w:val="nil"/>
            </w:tcBorders>
          </w:tcPr>
          <w:p w14:paraId="3859C62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36.145</w:t>
            </w:r>
          </w:p>
        </w:tc>
        <w:tc>
          <w:tcPr>
            <w:tcW w:w="1200" w:type="dxa"/>
            <w:tcBorders>
              <w:top w:val="nil"/>
              <w:left w:val="nil"/>
              <w:bottom w:val="nil"/>
              <w:right w:val="nil"/>
            </w:tcBorders>
          </w:tcPr>
          <w:p w14:paraId="67137931"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35.875</w:t>
            </w:r>
          </w:p>
        </w:tc>
        <w:tc>
          <w:tcPr>
            <w:tcW w:w="1200" w:type="dxa"/>
            <w:tcBorders>
              <w:top w:val="nil"/>
              <w:left w:val="nil"/>
              <w:bottom w:val="nil"/>
              <w:right w:val="nil"/>
            </w:tcBorders>
          </w:tcPr>
          <w:p w14:paraId="711D416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15.555</w:t>
            </w:r>
          </w:p>
        </w:tc>
        <w:tc>
          <w:tcPr>
            <w:tcW w:w="1200" w:type="dxa"/>
            <w:tcBorders>
              <w:top w:val="nil"/>
              <w:left w:val="nil"/>
              <w:bottom w:val="nil"/>
              <w:right w:val="nil"/>
            </w:tcBorders>
          </w:tcPr>
          <w:p w14:paraId="0A626516"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17.182</w:t>
            </w:r>
          </w:p>
        </w:tc>
        <w:tc>
          <w:tcPr>
            <w:tcW w:w="1200" w:type="dxa"/>
            <w:tcBorders>
              <w:top w:val="nil"/>
              <w:left w:val="nil"/>
              <w:bottom w:val="nil"/>
              <w:right w:val="nil"/>
            </w:tcBorders>
          </w:tcPr>
          <w:p w14:paraId="7BCCA2AE"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17.614</w:t>
            </w:r>
          </w:p>
        </w:tc>
        <w:tc>
          <w:tcPr>
            <w:tcW w:w="1200" w:type="dxa"/>
            <w:tcBorders>
              <w:top w:val="nil"/>
              <w:left w:val="nil"/>
              <w:bottom w:val="nil"/>
              <w:right w:val="nil"/>
            </w:tcBorders>
          </w:tcPr>
          <w:p w14:paraId="7489D50F"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17.614</w:t>
            </w:r>
          </w:p>
        </w:tc>
        <w:tc>
          <w:tcPr>
            <w:tcW w:w="1200" w:type="dxa"/>
            <w:tcBorders>
              <w:top w:val="nil"/>
              <w:left w:val="nil"/>
              <w:bottom w:val="nil"/>
              <w:right w:val="nil"/>
            </w:tcBorders>
          </w:tcPr>
          <w:p w14:paraId="66BF975C"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w:t>
            </w:r>
          </w:p>
        </w:tc>
        <w:tc>
          <w:tcPr>
            <w:tcW w:w="1200" w:type="dxa"/>
            <w:tcBorders>
              <w:top w:val="nil"/>
              <w:left w:val="nil"/>
              <w:bottom w:val="nil"/>
              <w:right w:val="nil"/>
            </w:tcBorders>
          </w:tcPr>
          <w:p w14:paraId="5F1E8873" w14:textId="77777777" w:rsidR="00797955" w:rsidRDefault="00797955" w:rsidP="005C0446">
            <w:pPr>
              <w:widowControl w:val="0"/>
              <w:autoSpaceDE w:val="0"/>
              <w:autoSpaceDN w:val="0"/>
              <w:adjustRightInd w:val="0"/>
              <w:spacing w:after="0" w:line="240" w:lineRule="auto"/>
              <w:jc w:val="center"/>
              <w:rPr>
                <w:rFonts w:ascii="Garamond" w:hAnsi="Garamond"/>
                <w:sz w:val="20"/>
                <w:szCs w:val="20"/>
                <w:lang w:val="en-US"/>
              </w:rPr>
            </w:pPr>
            <w:r>
              <w:rPr>
                <w:rFonts w:ascii="Garamond" w:hAnsi="Garamond"/>
                <w:sz w:val="20"/>
                <w:szCs w:val="20"/>
                <w:lang w:val="en-US"/>
              </w:rPr>
              <w:t>1993.223</w:t>
            </w:r>
          </w:p>
        </w:tc>
      </w:tr>
      <w:tr w:rsidR="00797955" w:rsidRPr="002C7C92" w14:paraId="1C2D9863" w14:textId="77777777" w:rsidTr="005C0446">
        <w:tc>
          <w:tcPr>
            <w:tcW w:w="14158" w:type="dxa"/>
            <w:gridSpan w:val="11"/>
            <w:tcBorders>
              <w:top w:val="single" w:sz="4" w:space="0" w:color="auto"/>
              <w:left w:val="nil"/>
              <w:bottom w:val="nil"/>
              <w:right w:val="nil"/>
            </w:tcBorders>
          </w:tcPr>
          <w:p w14:paraId="7A2DA67B" w14:textId="77777777" w:rsidR="00797955" w:rsidRPr="005F697D" w:rsidRDefault="00797955" w:rsidP="005C0446">
            <w:pPr>
              <w:widowControl w:val="0"/>
              <w:autoSpaceDE w:val="0"/>
              <w:autoSpaceDN w:val="0"/>
              <w:adjustRightInd w:val="0"/>
              <w:spacing w:after="0" w:line="240" w:lineRule="auto"/>
              <w:jc w:val="both"/>
              <w:rPr>
                <w:rFonts w:ascii="Times New Roman" w:hAnsi="Times New Roman" w:cs="Times New Roman"/>
                <w:sz w:val="20"/>
                <w:szCs w:val="20"/>
                <w:lang w:val="en-US"/>
              </w:rPr>
            </w:pPr>
            <w:r w:rsidRPr="005F697D">
              <w:rPr>
                <w:rFonts w:ascii="Times New Roman" w:hAnsi="Times New Roman" w:cs="Times New Roman"/>
                <w:sz w:val="20"/>
                <w:szCs w:val="20"/>
                <w:lang w:val="en-US"/>
              </w:rPr>
              <w:t xml:space="preserve">Column (1): pooled OLS on all the explanatory variables. Column (2): pooled OLS on all the explanatory variables less those causing multicollinearity issues. Column (3) (baseline model): pooled OLS on all the explanatory variables less those causing multicollinearity issues or not significant. Column (4): pooled OLS on the baseline model with standard errors </w:t>
            </w:r>
            <w:proofErr w:type="spellStart"/>
            <w:r w:rsidRPr="005F697D">
              <w:rPr>
                <w:rFonts w:ascii="Times New Roman" w:hAnsi="Times New Roman" w:cs="Times New Roman"/>
                <w:sz w:val="20"/>
                <w:szCs w:val="20"/>
                <w:lang w:val="en-US"/>
              </w:rPr>
              <w:t>clusterised</w:t>
            </w:r>
            <w:proofErr w:type="spellEnd"/>
            <w:r w:rsidRPr="005F697D">
              <w:rPr>
                <w:rFonts w:ascii="Times New Roman" w:hAnsi="Times New Roman" w:cs="Times New Roman"/>
                <w:sz w:val="20"/>
                <w:szCs w:val="20"/>
                <w:lang w:val="en-US"/>
              </w:rPr>
              <w:t xml:space="preserve"> by economic sector. Column (5): OLS on the baseline model with time fixed effects. Column (6): OLS on the baseline model with firm fixed effects. Column (7): OLS on the baseline model with both time and firm fixed effects. Column (8): OLS on the baseline model with both time, firm, industry and country fixed effects. Column (9): GLS on the baseline model with random effects. Column (10): pooled OLS on the baseline model with Driscoll-</w:t>
            </w:r>
            <w:proofErr w:type="spellStart"/>
            <w:r w:rsidRPr="005F697D">
              <w:rPr>
                <w:rFonts w:ascii="Times New Roman" w:hAnsi="Times New Roman" w:cs="Times New Roman"/>
                <w:sz w:val="20"/>
                <w:szCs w:val="20"/>
                <w:lang w:val="en-US"/>
              </w:rPr>
              <w:t>Kraay</w:t>
            </w:r>
            <w:proofErr w:type="spellEnd"/>
            <w:r w:rsidRPr="005F697D">
              <w:rPr>
                <w:rFonts w:ascii="Times New Roman" w:hAnsi="Times New Roman" w:cs="Times New Roman"/>
                <w:sz w:val="20"/>
                <w:szCs w:val="20"/>
                <w:lang w:val="en-US"/>
              </w:rPr>
              <w:t xml:space="preserve"> standard errors. </w:t>
            </w:r>
          </w:p>
          <w:p w14:paraId="4458C295" w14:textId="77777777" w:rsidR="00797955" w:rsidRPr="005F697D" w:rsidRDefault="00797955" w:rsidP="005C0446">
            <w:pPr>
              <w:widowControl w:val="0"/>
              <w:autoSpaceDE w:val="0"/>
              <w:autoSpaceDN w:val="0"/>
              <w:adjustRightInd w:val="0"/>
              <w:spacing w:after="0" w:line="240" w:lineRule="auto"/>
              <w:jc w:val="both"/>
              <w:rPr>
                <w:rFonts w:ascii="Times New Roman" w:hAnsi="Times New Roman" w:cs="Times New Roman"/>
                <w:sz w:val="20"/>
                <w:szCs w:val="20"/>
                <w:lang w:val="en-US"/>
              </w:rPr>
            </w:pPr>
            <w:r w:rsidRPr="005F697D">
              <w:rPr>
                <w:rFonts w:ascii="Times New Roman" w:hAnsi="Times New Roman" w:cs="Times New Roman"/>
                <w:sz w:val="20"/>
                <w:szCs w:val="20"/>
                <w:lang w:val="en-US"/>
              </w:rPr>
              <w:t>Robust standard errors are in parenthesis.</w:t>
            </w:r>
          </w:p>
        </w:tc>
      </w:tr>
      <w:tr w:rsidR="00797955" w14:paraId="3B817D56" w14:textId="77777777" w:rsidTr="005C0446">
        <w:tc>
          <w:tcPr>
            <w:tcW w:w="14158" w:type="dxa"/>
            <w:gridSpan w:val="11"/>
            <w:tcBorders>
              <w:top w:val="nil"/>
              <w:left w:val="nil"/>
              <w:bottom w:val="nil"/>
              <w:right w:val="nil"/>
            </w:tcBorders>
          </w:tcPr>
          <w:p w14:paraId="1C3BC1AB" w14:textId="77777777" w:rsidR="00797955" w:rsidRPr="005F697D" w:rsidRDefault="00797955" w:rsidP="005C0446">
            <w:pPr>
              <w:widowControl w:val="0"/>
              <w:autoSpaceDE w:val="0"/>
              <w:autoSpaceDN w:val="0"/>
              <w:adjustRightInd w:val="0"/>
              <w:spacing w:after="0" w:line="240" w:lineRule="auto"/>
              <w:jc w:val="both"/>
              <w:rPr>
                <w:rFonts w:ascii="Times New Roman" w:hAnsi="Times New Roman" w:cs="Times New Roman"/>
                <w:sz w:val="20"/>
                <w:szCs w:val="20"/>
                <w:lang w:val="en-US"/>
              </w:rPr>
            </w:pPr>
            <w:r w:rsidRPr="005F697D">
              <w:rPr>
                <w:rFonts w:ascii="Times New Roman" w:hAnsi="Times New Roman" w:cs="Times New Roman"/>
                <w:i/>
                <w:iCs/>
                <w:sz w:val="20"/>
                <w:szCs w:val="20"/>
                <w:lang w:val="en-US"/>
              </w:rPr>
              <w:t xml:space="preserve">*** p&lt;0.01, ** p&lt;0.05, * p&lt;0.1 </w:t>
            </w:r>
          </w:p>
        </w:tc>
      </w:tr>
    </w:tbl>
    <w:p w14:paraId="29C91078" w14:textId="77777777" w:rsidR="00BA47C6" w:rsidRDefault="00BA47C6" w:rsidP="00FE4310">
      <w:pPr>
        <w:jc w:val="center"/>
        <w:rPr>
          <w:rFonts w:ascii="Times New Roman" w:hAnsi="Times New Roman" w:cs="Times New Roman"/>
          <w:b/>
          <w:sz w:val="32"/>
          <w:szCs w:val="32"/>
          <w:lang w:val="en-GB"/>
        </w:rPr>
        <w:sectPr w:rsidR="00BA47C6" w:rsidSect="00BA47C6">
          <w:pgSz w:w="16838" w:h="11906" w:orient="landscape"/>
          <w:pgMar w:top="1134" w:right="1418" w:bottom="1134" w:left="1134" w:header="709" w:footer="709" w:gutter="0"/>
          <w:cols w:space="708"/>
          <w:docGrid w:linePitch="360"/>
        </w:sectPr>
      </w:pPr>
    </w:p>
    <w:p w14:paraId="00F9EF05" w14:textId="0A281C90" w:rsidR="00911565" w:rsidRPr="00911565" w:rsidRDefault="00911565" w:rsidP="00911565">
      <w:pPr>
        <w:jc w:val="both"/>
        <w:rPr>
          <w:rFonts w:ascii="Times New Roman" w:hAnsi="Times New Roman" w:cs="Times New Roman"/>
          <w:b/>
          <w:lang w:val="en-GB"/>
        </w:rPr>
      </w:pPr>
      <w:r w:rsidRPr="00911565">
        <w:rPr>
          <w:rFonts w:ascii="Times New Roman" w:hAnsi="Times New Roman" w:cs="Times New Roman"/>
          <w:b/>
          <w:lang w:val="en-GB"/>
        </w:rPr>
        <w:lastRenderedPageBreak/>
        <w:t>Table 5. Shapiro-Wilk test on the residuals from the baseline regression.</w:t>
      </w:r>
    </w:p>
    <w:p w14:paraId="02F5064E" w14:textId="77777777" w:rsidR="003048E7" w:rsidRDefault="00911565" w:rsidP="00911565">
      <w:pPr>
        <w:jc w:val="both"/>
        <w:rPr>
          <w:b/>
          <w:lang w:val="en-GB"/>
        </w:rPr>
      </w:pPr>
      <w:r>
        <w:rPr>
          <w:noProof/>
          <w:lang w:eastAsia="it-IT"/>
        </w:rPr>
        <w:drawing>
          <wp:inline distT="0" distB="0" distL="0" distR="0" wp14:anchorId="6536F76A" wp14:editId="6E09402D">
            <wp:extent cx="4392078" cy="1552755"/>
            <wp:effectExtent l="0" t="0" r="889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778" cy="1556184"/>
                    </a:xfrm>
                    <a:prstGeom prst="rect">
                      <a:avLst/>
                    </a:prstGeom>
                  </pic:spPr>
                </pic:pic>
              </a:graphicData>
            </a:graphic>
          </wp:inline>
        </w:drawing>
      </w:r>
    </w:p>
    <w:p w14:paraId="748F9538" w14:textId="77777777" w:rsidR="005F697D" w:rsidRDefault="005F697D" w:rsidP="00911565">
      <w:pPr>
        <w:jc w:val="both"/>
        <w:rPr>
          <w:rFonts w:ascii="Times New Roman" w:hAnsi="Times New Roman" w:cs="Times New Roman"/>
          <w:b/>
          <w:lang w:val="en-GB"/>
        </w:rPr>
      </w:pPr>
    </w:p>
    <w:p w14:paraId="0071AD2D" w14:textId="458C75F9" w:rsidR="003048E7" w:rsidRPr="003048E7" w:rsidRDefault="003048E7" w:rsidP="00911565">
      <w:pPr>
        <w:jc w:val="both"/>
        <w:rPr>
          <w:rFonts w:ascii="Times New Roman" w:hAnsi="Times New Roman" w:cs="Times New Roman"/>
          <w:b/>
          <w:lang w:val="en-GB"/>
        </w:rPr>
      </w:pPr>
      <w:r w:rsidRPr="003048E7">
        <w:rPr>
          <w:rFonts w:ascii="Times New Roman" w:hAnsi="Times New Roman" w:cs="Times New Roman"/>
          <w:b/>
          <w:lang w:val="en-GB"/>
        </w:rPr>
        <w:t>Table 6. Correlation matrix.</w:t>
      </w:r>
    </w:p>
    <w:p w14:paraId="75F33F6B" w14:textId="77777777" w:rsidR="003048E7" w:rsidRPr="003048E7" w:rsidRDefault="003048E7" w:rsidP="00911565">
      <w:pPr>
        <w:jc w:val="both"/>
        <w:rPr>
          <w:rFonts w:ascii="Times New Roman" w:hAnsi="Times New Roman" w:cs="Times New Roman"/>
          <w:b/>
          <w:lang w:val="en-GB"/>
        </w:rPr>
      </w:pPr>
      <w:r w:rsidRPr="003048E7">
        <w:rPr>
          <w:rFonts w:ascii="Times New Roman" w:hAnsi="Times New Roman" w:cs="Times New Roman"/>
          <w:noProof/>
          <w:lang w:eastAsia="it-IT"/>
        </w:rPr>
        <w:drawing>
          <wp:inline distT="0" distB="0" distL="0" distR="0" wp14:anchorId="681324BC" wp14:editId="5C6A52B1">
            <wp:extent cx="4845749" cy="2760453"/>
            <wp:effectExtent l="0" t="0" r="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2004" cy="2764016"/>
                    </a:xfrm>
                    <a:prstGeom prst="rect">
                      <a:avLst/>
                    </a:prstGeom>
                  </pic:spPr>
                </pic:pic>
              </a:graphicData>
            </a:graphic>
          </wp:inline>
        </w:drawing>
      </w:r>
    </w:p>
    <w:p w14:paraId="2E5E592B" w14:textId="77777777" w:rsidR="005F697D" w:rsidRDefault="005F697D" w:rsidP="00911565">
      <w:pPr>
        <w:jc w:val="both"/>
        <w:rPr>
          <w:rFonts w:ascii="Times New Roman" w:hAnsi="Times New Roman" w:cs="Times New Roman"/>
          <w:b/>
          <w:lang w:val="en-GB"/>
        </w:rPr>
      </w:pPr>
    </w:p>
    <w:p w14:paraId="5DDFCAB4" w14:textId="77777777" w:rsidR="003048E7" w:rsidRPr="003048E7" w:rsidRDefault="003048E7" w:rsidP="00911565">
      <w:pPr>
        <w:jc w:val="both"/>
        <w:rPr>
          <w:rFonts w:ascii="Times New Roman" w:hAnsi="Times New Roman" w:cs="Times New Roman"/>
          <w:b/>
          <w:lang w:val="en-GB"/>
        </w:rPr>
      </w:pPr>
      <w:r w:rsidRPr="003048E7">
        <w:rPr>
          <w:rFonts w:ascii="Times New Roman" w:hAnsi="Times New Roman" w:cs="Times New Roman"/>
          <w:b/>
          <w:lang w:val="en-GB"/>
        </w:rPr>
        <w:t>Table 7. VIF test.</w:t>
      </w:r>
    </w:p>
    <w:p w14:paraId="0F534FC6" w14:textId="678EF8A8" w:rsidR="00911565" w:rsidRDefault="003048E7" w:rsidP="00911565">
      <w:pPr>
        <w:jc w:val="both"/>
        <w:rPr>
          <w:b/>
          <w:lang w:val="en-GB"/>
        </w:rPr>
      </w:pPr>
      <w:r>
        <w:rPr>
          <w:noProof/>
          <w:lang w:eastAsia="it-IT"/>
        </w:rPr>
        <w:drawing>
          <wp:inline distT="0" distB="0" distL="0" distR="0" wp14:anchorId="72E639C4" wp14:editId="0243CD0F">
            <wp:extent cx="2143353" cy="2255739"/>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0265" cy="2263013"/>
                    </a:xfrm>
                    <a:prstGeom prst="rect">
                      <a:avLst/>
                    </a:prstGeom>
                  </pic:spPr>
                </pic:pic>
              </a:graphicData>
            </a:graphic>
          </wp:inline>
        </w:drawing>
      </w:r>
      <w:r w:rsidR="00911565">
        <w:rPr>
          <w:b/>
          <w:lang w:val="en-GB"/>
        </w:rPr>
        <w:br w:type="page"/>
      </w:r>
    </w:p>
    <w:p w14:paraId="233E795E" w14:textId="77777777" w:rsidR="005F697D" w:rsidRDefault="003048E7">
      <w:pPr>
        <w:rPr>
          <w:rFonts w:ascii="Times New Roman" w:hAnsi="Times New Roman" w:cs="Times New Roman"/>
          <w:b/>
          <w:lang w:val="en-GB"/>
        </w:rPr>
      </w:pPr>
      <w:r w:rsidRPr="003048E7">
        <w:rPr>
          <w:rFonts w:ascii="Times New Roman" w:hAnsi="Times New Roman" w:cs="Times New Roman"/>
          <w:b/>
          <w:lang w:val="en-GB"/>
        </w:rPr>
        <w:lastRenderedPageBreak/>
        <w:t>Table 8. Breusch-Pagan test on the baseline regression.</w:t>
      </w:r>
    </w:p>
    <w:p w14:paraId="79456565" w14:textId="27E5F1FF" w:rsidR="005F697D" w:rsidRDefault="00022AE1">
      <w:pPr>
        <w:rPr>
          <w:rFonts w:ascii="Times New Roman" w:hAnsi="Times New Roman" w:cs="Times New Roman"/>
          <w:b/>
          <w:lang w:val="en-GB"/>
        </w:rPr>
      </w:pPr>
      <w:r>
        <w:rPr>
          <w:noProof/>
          <w:lang w:eastAsia="it-IT"/>
        </w:rPr>
        <w:drawing>
          <wp:inline distT="0" distB="0" distL="0" distR="0" wp14:anchorId="3B819828" wp14:editId="0F4D9EF1">
            <wp:extent cx="3078177" cy="1475117"/>
            <wp:effectExtent l="0" t="0" r="825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0461" cy="1481004"/>
                    </a:xfrm>
                    <a:prstGeom prst="rect">
                      <a:avLst/>
                    </a:prstGeom>
                  </pic:spPr>
                </pic:pic>
              </a:graphicData>
            </a:graphic>
          </wp:inline>
        </w:drawing>
      </w:r>
    </w:p>
    <w:p w14:paraId="5B06C91E" w14:textId="77777777" w:rsidR="005F697D" w:rsidRDefault="005F697D" w:rsidP="005F697D">
      <w:pPr>
        <w:rPr>
          <w:rFonts w:ascii="Times New Roman" w:hAnsi="Times New Roman" w:cs="Times New Roman"/>
          <w:b/>
          <w:lang w:val="en-GB"/>
        </w:rPr>
      </w:pPr>
    </w:p>
    <w:p w14:paraId="21070294" w14:textId="7F86D162" w:rsidR="005F697D" w:rsidRDefault="005F697D" w:rsidP="005F697D">
      <w:pPr>
        <w:rPr>
          <w:rFonts w:ascii="Times New Roman" w:hAnsi="Times New Roman" w:cs="Times New Roman"/>
          <w:b/>
          <w:lang w:val="en-GB"/>
        </w:rPr>
      </w:pPr>
      <w:r>
        <w:rPr>
          <w:rFonts w:ascii="Times New Roman" w:hAnsi="Times New Roman" w:cs="Times New Roman"/>
          <w:b/>
          <w:lang w:val="en-GB"/>
        </w:rPr>
        <w:t>Table 9</w:t>
      </w:r>
      <w:r w:rsidRPr="003048E7">
        <w:rPr>
          <w:rFonts w:ascii="Times New Roman" w:hAnsi="Times New Roman" w:cs="Times New Roman"/>
          <w:b/>
          <w:lang w:val="en-GB"/>
        </w:rPr>
        <w:t xml:space="preserve">. </w:t>
      </w:r>
      <w:proofErr w:type="spellStart"/>
      <w:r w:rsidRPr="003048E7">
        <w:rPr>
          <w:rFonts w:ascii="Times New Roman" w:hAnsi="Times New Roman" w:cs="Times New Roman"/>
          <w:b/>
          <w:lang w:val="en-GB"/>
        </w:rPr>
        <w:t>Breusch</w:t>
      </w:r>
      <w:proofErr w:type="spellEnd"/>
      <w:r w:rsidRPr="003048E7">
        <w:rPr>
          <w:rFonts w:ascii="Times New Roman" w:hAnsi="Times New Roman" w:cs="Times New Roman"/>
          <w:b/>
          <w:lang w:val="en-GB"/>
        </w:rPr>
        <w:t>-Pagan test on the</w:t>
      </w:r>
      <w:r>
        <w:rPr>
          <w:rFonts w:ascii="Times New Roman" w:hAnsi="Times New Roman" w:cs="Times New Roman"/>
          <w:b/>
          <w:lang w:val="en-GB"/>
        </w:rPr>
        <w:t xml:space="preserve"> fixed effects model in Column (7) (time and firm fixed effects)</w:t>
      </w:r>
      <w:r w:rsidRPr="003048E7">
        <w:rPr>
          <w:rFonts w:ascii="Times New Roman" w:hAnsi="Times New Roman" w:cs="Times New Roman"/>
          <w:b/>
          <w:lang w:val="en-GB"/>
        </w:rPr>
        <w:t>.</w:t>
      </w:r>
    </w:p>
    <w:p w14:paraId="4EDDF021" w14:textId="77777777" w:rsidR="005F697D" w:rsidRDefault="005F697D">
      <w:pPr>
        <w:rPr>
          <w:rFonts w:ascii="Times New Roman" w:hAnsi="Times New Roman" w:cs="Times New Roman"/>
          <w:b/>
          <w:lang w:val="en-GB"/>
        </w:rPr>
      </w:pPr>
      <w:r>
        <w:rPr>
          <w:noProof/>
          <w:lang w:eastAsia="it-IT"/>
        </w:rPr>
        <w:drawing>
          <wp:inline distT="0" distB="0" distL="0" distR="0" wp14:anchorId="4AFEB495" wp14:editId="0B89914B">
            <wp:extent cx="3057525" cy="149528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214" cy="1499535"/>
                    </a:xfrm>
                    <a:prstGeom prst="rect">
                      <a:avLst/>
                    </a:prstGeom>
                  </pic:spPr>
                </pic:pic>
              </a:graphicData>
            </a:graphic>
          </wp:inline>
        </w:drawing>
      </w:r>
    </w:p>
    <w:p w14:paraId="680676C1" w14:textId="77777777" w:rsidR="005F697D" w:rsidRDefault="005F697D">
      <w:pPr>
        <w:rPr>
          <w:rFonts w:ascii="Times New Roman" w:hAnsi="Times New Roman" w:cs="Times New Roman"/>
          <w:b/>
          <w:lang w:val="en-GB"/>
        </w:rPr>
      </w:pPr>
    </w:p>
    <w:p w14:paraId="22BCE599" w14:textId="77777777" w:rsidR="005F697D" w:rsidRDefault="005F697D">
      <w:pPr>
        <w:rPr>
          <w:rFonts w:ascii="Times New Roman" w:hAnsi="Times New Roman" w:cs="Times New Roman"/>
          <w:b/>
          <w:lang w:val="en-GB"/>
        </w:rPr>
      </w:pPr>
      <w:r>
        <w:rPr>
          <w:rFonts w:ascii="Times New Roman" w:hAnsi="Times New Roman" w:cs="Times New Roman"/>
          <w:b/>
          <w:lang w:val="en-GB"/>
        </w:rPr>
        <w:t>Table 10. Wald test on the explanatory variables included in the baseline model.</w:t>
      </w:r>
    </w:p>
    <w:p w14:paraId="4A35B305" w14:textId="77777777" w:rsidR="005F697D" w:rsidRDefault="005F697D">
      <w:pPr>
        <w:rPr>
          <w:rFonts w:ascii="Times New Roman" w:hAnsi="Times New Roman" w:cs="Times New Roman"/>
          <w:b/>
          <w:lang w:val="en-GB"/>
        </w:rPr>
      </w:pPr>
      <w:r>
        <w:rPr>
          <w:noProof/>
          <w:lang w:eastAsia="it-IT"/>
        </w:rPr>
        <w:drawing>
          <wp:inline distT="0" distB="0" distL="0" distR="0" wp14:anchorId="2DADD11E" wp14:editId="7A3B2635">
            <wp:extent cx="2125645" cy="1689811"/>
            <wp:effectExtent l="0" t="0" r="8255"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6739" cy="1690681"/>
                    </a:xfrm>
                    <a:prstGeom prst="rect">
                      <a:avLst/>
                    </a:prstGeom>
                  </pic:spPr>
                </pic:pic>
              </a:graphicData>
            </a:graphic>
          </wp:inline>
        </w:drawing>
      </w:r>
    </w:p>
    <w:p w14:paraId="435C73F0" w14:textId="77777777" w:rsidR="005F697D" w:rsidRDefault="005F697D">
      <w:pPr>
        <w:rPr>
          <w:rFonts w:ascii="Times New Roman" w:hAnsi="Times New Roman" w:cs="Times New Roman"/>
          <w:b/>
          <w:lang w:val="en-GB"/>
        </w:rPr>
      </w:pPr>
    </w:p>
    <w:p w14:paraId="771533F5" w14:textId="77777777" w:rsidR="005F697D" w:rsidRDefault="005F697D">
      <w:pPr>
        <w:rPr>
          <w:rFonts w:ascii="Times New Roman" w:hAnsi="Times New Roman" w:cs="Times New Roman"/>
          <w:b/>
          <w:lang w:val="en-GB"/>
        </w:rPr>
      </w:pPr>
      <w:r>
        <w:rPr>
          <w:rFonts w:ascii="Times New Roman" w:hAnsi="Times New Roman" w:cs="Times New Roman"/>
          <w:b/>
          <w:lang w:val="en-GB"/>
        </w:rPr>
        <w:t>Table 11. Ramsey test on the baseline specification.</w:t>
      </w:r>
    </w:p>
    <w:p w14:paraId="42945BA8" w14:textId="77777777" w:rsidR="00094B95" w:rsidRDefault="00094B95">
      <w:pPr>
        <w:rPr>
          <w:rFonts w:ascii="Times New Roman" w:hAnsi="Times New Roman" w:cs="Times New Roman"/>
          <w:b/>
          <w:lang w:val="en-GB"/>
        </w:rPr>
      </w:pPr>
      <w:r>
        <w:rPr>
          <w:noProof/>
          <w:lang w:eastAsia="it-IT"/>
        </w:rPr>
        <w:drawing>
          <wp:inline distT="0" distB="0" distL="0" distR="0" wp14:anchorId="6B5692E1" wp14:editId="5E2D22FA">
            <wp:extent cx="3291840" cy="1206511"/>
            <wp:effectExtent l="0" t="0" r="381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7275" cy="1208503"/>
                    </a:xfrm>
                    <a:prstGeom prst="rect">
                      <a:avLst/>
                    </a:prstGeom>
                  </pic:spPr>
                </pic:pic>
              </a:graphicData>
            </a:graphic>
          </wp:inline>
        </w:drawing>
      </w:r>
    </w:p>
    <w:p w14:paraId="4DCF51BB" w14:textId="77777777" w:rsidR="00094B95" w:rsidRDefault="00094B95">
      <w:pPr>
        <w:rPr>
          <w:rFonts w:ascii="Times New Roman" w:hAnsi="Times New Roman" w:cs="Times New Roman"/>
          <w:b/>
          <w:lang w:val="en-GB"/>
        </w:rPr>
      </w:pPr>
      <w:r>
        <w:rPr>
          <w:rFonts w:ascii="Times New Roman" w:hAnsi="Times New Roman" w:cs="Times New Roman"/>
          <w:b/>
          <w:lang w:val="en-GB"/>
        </w:rPr>
        <w:br w:type="page"/>
      </w:r>
    </w:p>
    <w:p w14:paraId="62579ECB" w14:textId="257F3EEA" w:rsidR="00094B95" w:rsidRDefault="00094B95">
      <w:pPr>
        <w:rPr>
          <w:rFonts w:ascii="Times New Roman" w:hAnsi="Times New Roman" w:cs="Times New Roman"/>
          <w:b/>
          <w:lang w:val="en-GB"/>
        </w:rPr>
      </w:pPr>
      <w:r>
        <w:rPr>
          <w:rFonts w:ascii="Times New Roman" w:hAnsi="Times New Roman" w:cs="Times New Roman"/>
          <w:b/>
          <w:lang w:val="en-GB"/>
        </w:rPr>
        <w:lastRenderedPageBreak/>
        <w:t>Table 12. Link test on the baseline specification.</w:t>
      </w:r>
    </w:p>
    <w:p w14:paraId="162BCDDD" w14:textId="77777777" w:rsidR="00094B95" w:rsidRDefault="00094B95">
      <w:pPr>
        <w:rPr>
          <w:rFonts w:ascii="Times New Roman" w:hAnsi="Times New Roman" w:cs="Times New Roman"/>
          <w:b/>
          <w:lang w:val="en-GB"/>
        </w:rPr>
      </w:pPr>
      <w:r>
        <w:rPr>
          <w:noProof/>
          <w:lang w:eastAsia="it-IT"/>
        </w:rPr>
        <w:drawing>
          <wp:inline distT="0" distB="0" distL="0" distR="0" wp14:anchorId="254A31A7" wp14:editId="4E866DB6">
            <wp:extent cx="3957523" cy="2255438"/>
            <wp:effectExtent l="0" t="0" r="508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7172" cy="2260937"/>
                    </a:xfrm>
                    <a:prstGeom prst="rect">
                      <a:avLst/>
                    </a:prstGeom>
                  </pic:spPr>
                </pic:pic>
              </a:graphicData>
            </a:graphic>
          </wp:inline>
        </w:drawing>
      </w:r>
    </w:p>
    <w:p w14:paraId="3D0AB1A6" w14:textId="77777777" w:rsidR="00094B95" w:rsidRDefault="00094B95">
      <w:pPr>
        <w:rPr>
          <w:rFonts w:ascii="Times New Roman" w:hAnsi="Times New Roman" w:cs="Times New Roman"/>
          <w:b/>
          <w:lang w:val="en-GB"/>
        </w:rPr>
      </w:pPr>
      <w:r>
        <w:rPr>
          <w:rFonts w:ascii="Times New Roman" w:hAnsi="Times New Roman" w:cs="Times New Roman"/>
          <w:b/>
          <w:lang w:val="en-GB"/>
        </w:rPr>
        <w:t xml:space="preserve">Table 13. </w:t>
      </w:r>
      <w:proofErr w:type="spellStart"/>
      <w:r>
        <w:rPr>
          <w:rFonts w:ascii="Times New Roman" w:hAnsi="Times New Roman" w:cs="Times New Roman"/>
          <w:b/>
          <w:lang w:val="en-GB"/>
        </w:rPr>
        <w:t>Hausman</w:t>
      </w:r>
      <w:proofErr w:type="spellEnd"/>
      <w:r>
        <w:rPr>
          <w:rFonts w:ascii="Times New Roman" w:hAnsi="Times New Roman" w:cs="Times New Roman"/>
          <w:b/>
          <w:lang w:val="en-GB"/>
        </w:rPr>
        <w:t xml:space="preserve"> test.</w:t>
      </w:r>
    </w:p>
    <w:p w14:paraId="596DAF22" w14:textId="77777777" w:rsidR="00094B95" w:rsidRDefault="00094B95">
      <w:pPr>
        <w:rPr>
          <w:rFonts w:ascii="Times New Roman" w:hAnsi="Times New Roman" w:cs="Times New Roman"/>
          <w:b/>
          <w:lang w:val="en-GB"/>
        </w:rPr>
      </w:pPr>
      <w:r>
        <w:rPr>
          <w:noProof/>
          <w:lang w:eastAsia="it-IT"/>
        </w:rPr>
        <w:drawing>
          <wp:inline distT="0" distB="0" distL="0" distR="0" wp14:anchorId="35CF5389" wp14:editId="2284A390">
            <wp:extent cx="4077496" cy="2779776"/>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1456" cy="2782475"/>
                    </a:xfrm>
                    <a:prstGeom prst="rect">
                      <a:avLst/>
                    </a:prstGeom>
                  </pic:spPr>
                </pic:pic>
              </a:graphicData>
            </a:graphic>
          </wp:inline>
        </w:drawing>
      </w:r>
    </w:p>
    <w:p w14:paraId="746D6DDE" w14:textId="60CAFEB9" w:rsidR="00094B95" w:rsidRPr="00094B95" w:rsidRDefault="00094B95">
      <w:pPr>
        <w:rPr>
          <w:rFonts w:ascii="Times New Roman" w:hAnsi="Times New Roman" w:cs="Times New Roman"/>
          <w:lang w:val="en-GB"/>
        </w:rPr>
      </w:pPr>
      <w:r>
        <w:rPr>
          <w:rFonts w:ascii="Times New Roman" w:hAnsi="Times New Roman" w:cs="Times New Roman"/>
          <w:b/>
          <w:lang w:val="en-GB"/>
        </w:rPr>
        <w:t>Table 14. Interpretation of the marginal effects.</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1666"/>
        <w:gridCol w:w="1423"/>
        <w:gridCol w:w="1675"/>
        <w:gridCol w:w="1517"/>
        <w:gridCol w:w="1594"/>
      </w:tblGrid>
      <w:tr w:rsidR="00094B95" w:rsidRPr="0025586B" w14:paraId="1957F453" w14:textId="77777777" w:rsidTr="005C0446">
        <w:tc>
          <w:tcPr>
            <w:tcW w:w="1763" w:type="dxa"/>
            <w:tcBorders>
              <w:top w:val="single" w:sz="4" w:space="0" w:color="auto"/>
              <w:bottom w:val="single" w:sz="4" w:space="0" w:color="auto"/>
            </w:tcBorders>
          </w:tcPr>
          <w:p w14:paraId="5F440845" w14:textId="77777777" w:rsidR="00094B95" w:rsidRPr="0025586B" w:rsidRDefault="00094B95" w:rsidP="005C0446">
            <w:pPr>
              <w:jc w:val="both"/>
              <w:rPr>
                <w:rFonts w:ascii="Garamond" w:hAnsi="Garamond" w:cs="Times New Roman"/>
                <w:sz w:val="22"/>
                <w:szCs w:val="22"/>
                <w:lang w:val="en-GB"/>
              </w:rPr>
            </w:pPr>
          </w:p>
          <w:p w14:paraId="4FFE1CE0" w14:textId="77777777" w:rsidR="00094B95" w:rsidRPr="0025586B" w:rsidRDefault="00094B95" w:rsidP="005C0446">
            <w:pPr>
              <w:jc w:val="both"/>
              <w:rPr>
                <w:rFonts w:ascii="Garamond" w:hAnsi="Garamond" w:cs="Times New Roman"/>
                <w:i/>
                <w:sz w:val="22"/>
                <w:szCs w:val="22"/>
                <w:lang w:val="en-GB"/>
              </w:rPr>
            </w:pPr>
            <w:r w:rsidRPr="0025586B">
              <w:rPr>
                <w:rFonts w:ascii="Garamond" w:hAnsi="Garamond" w:cs="Times New Roman"/>
                <w:i/>
                <w:sz w:val="22"/>
                <w:szCs w:val="22"/>
                <w:lang w:val="en-GB"/>
              </w:rPr>
              <w:t>x</w:t>
            </w:r>
          </w:p>
          <w:p w14:paraId="62A6A719" w14:textId="77777777" w:rsidR="00094B95" w:rsidRPr="0025586B" w:rsidRDefault="00094B95" w:rsidP="005C0446">
            <w:pPr>
              <w:jc w:val="both"/>
              <w:rPr>
                <w:rFonts w:ascii="Garamond" w:hAnsi="Garamond" w:cs="Times New Roman"/>
                <w:sz w:val="22"/>
                <w:szCs w:val="22"/>
                <w:lang w:val="en-GB"/>
              </w:rPr>
            </w:pPr>
          </w:p>
        </w:tc>
        <w:tc>
          <w:tcPr>
            <w:tcW w:w="1666" w:type="dxa"/>
            <w:tcBorders>
              <w:top w:val="single" w:sz="4" w:space="0" w:color="auto"/>
              <w:bottom w:val="single" w:sz="4" w:space="0" w:color="auto"/>
            </w:tcBorders>
          </w:tcPr>
          <w:p w14:paraId="2E654F3D" w14:textId="77777777" w:rsidR="00094B95" w:rsidRPr="0025586B" w:rsidRDefault="00094B95" w:rsidP="005C0446">
            <w:pPr>
              <w:jc w:val="both"/>
              <w:rPr>
                <w:rFonts w:ascii="Garamond" w:hAnsi="Garamond" w:cs="Times New Roman"/>
                <w:sz w:val="22"/>
                <w:szCs w:val="22"/>
                <w:lang w:val="en-GB"/>
              </w:rPr>
            </w:pPr>
          </w:p>
          <w:p w14:paraId="7F9D92E0"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Functional form</w:t>
            </w:r>
          </w:p>
        </w:tc>
        <w:tc>
          <w:tcPr>
            <w:tcW w:w="1423" w:type="dxa"/>
            <w:tcBorders>
              <w:top w:val="single" w:sz="4" w:space="0" w:color="auto"/>
              <w:bottom w:val="single" w:sz="4" w:space="0" w:color="auto"/>
            </w:tcBorders>
          </w:tcPr>
          <w:p w14:paraId="5B1892A9" w14:textId="77777777" w:rsidR="00094B95" w:rsidRPr="0025586B" w:rsidRDefault="00094B95" w:rsidP="005C0446">
            <w:pPr>
              <w:rPr>
                <w:rFonts w:ascii="Garamond" w:hAnsi="Garamond" w:cs="Times New Roman"/>
                <w:sz w:val="22"/>
                <w:szCs w:val="22"/>
                <w:lang w:val="en-GB"/>
              </w:rPr>
            </w:pPr>
          </w:p>
          <w:p w14:paraId="58BF3DD3" w14:textId="77777777" w:rsidR="00094B95" w:rsidRPr="0025586B" w:rsidRDefault="00094B95" w:rsidP="005C0446">
            <w:pPr>
              <w:rPr>
                <w:rFonts w:ascii="Garamond" w:hAnsi="Garamond" w:cs="Times New Roman"/>
                <w:sz w:val="22"/>
                <w:szCs w:val="22"/>
                <w:lang w:val="en-GB"/>
              </w:rPr>
            </w:pPr>
            <w:r w:rsidRPr="0025586B">
              <w:rPr>
                <w:rFonts w:ascii="Garamond" w:hAnsi="Garamond" w:cs="Times New Roman"/>
                <w:sz w:val="22"/>
                <w:szCs w:val="22"/>
                <w:lang w:val="en-GB"/>
              </w:rPr>
              <w:t>Interpretation</w:t>
            </w:r>
          </w:p>
        </w:tc>
        <w:tc>
          <w:tcPr>
            <w:tcW w:w="1675" w:type="dxa"/>
            <w:tcBorders>
              <w:top w:val="single" w:sz="4" w:space="0" w:color="auto"/>
              <w:bottom w:val="single" w:sz="4" w:space="0" w:color="auto"/>
            </w:tcBorders>
          </w:tcPr>
          <w:p w14:paraId="3BB3BF17" w14:textId="77777777" w:rsidR="00094B95" w:rsidRPr="0025586B" w:rsidRDefault="00094B95" w:rsidP="005C0446">
            <w:pPr>
              <w:jc w:val="center"/>
              <w:rPr>
                <w:rFonts w:ascii="Garamond" w:hAnsi="Garamond" w:cs="Times New Roman"/>
                <w:sz w:val="22"/>
                <w:szCs w:val="22"/>
                <w:lang w:val="en-GB"/>
              </w:rPr>
            </w:pPr>
          </w:p>
          <w:p w14:paraId="79B69D5C"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Coefficient</w:t>
            </w:r>
          </w:p>
        </w:tc>
        <w:tc>
          <w:tcPr>
            <w:tcW w:w="1517" w:type="dxa"/>
            <w:tcBorders>
              <w:top w:val="single" w:sz="4" w:space="0" w:color="auto"/>
              <w:bottom w:val="single" w:sz="4" w:space="0" w:color="auto"/>
            </w:tcBorders>
          </w:tcPr>
          <w:p w14:paraId="6DBFC19D" w14:textId="77777777" w:rsidR="00094B95" w:rsidRPr="0025586B" w:rsidRDefault="00094B95" w:rsidP="005C0446">
            <w:pPr>
              <w:jc w:val="center"/>
              <w:rPr>
                <w:rFonts w:ascii="Garamond" w:hAnsi="Garamond" w:cs="Times New Roman"/>
                <w:i/>
                <w:sz w:val="22"/>
                <w:szCs w:val="22"/>
              </w:rPr>
            </w:pPr>
          </w:p>
          <w:p w14:paraId="70739327" w14:textId="77777777" w:rsidR="00094B95" w:rsidRPr="0025586B" w:rsidRDefault="00094B95" w:rsidP="005C0446">
            <w:pPr>
              <w:jc w:val="center"/>
              <w:rPr>
                <w:rFonts w:ascii="Garamond" w:hAnsi="Garamond" w:cs="Times New Roman"/>
                <w:i/>
                <w:sz w:val="22"/>
                <w:szCs w:val="22"/>
                <w:lang w:val="en-GB"/>
              </w:rPr>
            </w:pPr>
            <w:r w:rsidRPr="0025586B">
              <w:rPr>
                <w:rFonts w:ascii="Garamond" w:hAnsi="Garamond" w:cs="Times New Roman"/>
                <w:i/>
                <w:sz w:val="22"/>
                <w:szCs w:val="22"/>
              </w:rPr>
              <w:t>∆x</w:t>
            </w:r>
          </w:p>
        </w:tc>
        <w:tc>
          <w:tcPr>
            <w:tcW w:w="1594" w:type="dxa"/>
            <w:tcBorders>
              <w:top w:val="single" w:sz="4" w:space="0" w:color="auto"/>
              <w:bottom w:val="single" w:sz="4" w:space="0" w:color="auto"/>
            </w:tcBorders>
          </w:tcPr>
          <w:p w14:paraId="1CE12765" w14:textId="77777777" w:rsidR="00094B95" w:rsidRPr="0025586B" w:rsidRDefault="00094B95" w:rsidP="005C0446">
            <w:pPr>
              <w:jc w:val="center"/>
              <w:rPr>
                <w:rFonts w:ascii="Garamond" w:hAnsi="Garamond" w:cs="Times New Roman"/>
                <w:i/>
                <w:sz w:val="22"/>
                <w:szCs w:val="22"/>
              </w:rPr>
            </w:pPr>
          </w:p>
          <w:p w14:paraId="04B11AA6" w14:textId="77777777" w:rsidR="00094B95" w:rsidRPr="0025586B" w:rsidRDefault="00094B95" w:rsidP="005C0446">
            <w:pPr>
              <w:jc w:val="center"/>
              <w:rPr>
                <w:rFonts w:ascii="Garamond" w:hAnsi="Garamond" w:cs="Times New Roman"/>
                <w:i/>
                <w:sz w:val="22"/>
                <w:szCs w:val="22"/>
                <w:lang w:val="en-GB"/>
              </w:rPr>
            </w:pPr>
            <w:r w:rsidRPr="0025586B">
              <w:rPr>
                <w:rFonts w:ascii="Garamond" w:hAnsi="Garamond" w:cs="Times New Roman"/>
                <w:i/>
                <w:sz w:val="22"/>
                <w:szCs w:val="22"/>
              </w:rPr>
              <w:t>∆DP</w:t>
            </w:r>
          </w:p>
        </w:tc>
      </w:tr>
      <w:tr w:rsidR="00094B95" w:rsidRPr="0025586B" w14:paraId="32ACFBBB" w14:textId="77777777" w:rsidTr="005C0446">
        <w:tc>
          <w:tcPr>
            <w:tcW w:w="1763" w:type="dxa"/>
            <w:tcBorders>
              <w:top w:val="single" w:sz="4" w:space="0" w:color="auto"/>
            </w:tcBorders>
          </w:tcPr>
          <w:p w14:paraId="5E44D976"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PROF</w:t>
            </w:r>
          </w:p>
        </w:tc>
        <w:tc>
          <w:tcPr>
            <w:tcW w:w="1666" w:type="dxa"/>
            <w:tcBorders>
              <w:top w:val="single" w:sz="4" w:space="0" w:color="auto"/>
            </w:tcBorders>
          </w:tcPr>
          <w:p w14:paraId="12575E62"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Linear (ratio)</w:t>
            </w:r>
          </w:p>
        </w:tc>
        <w:tc>
          <w:tcPr>
            <w:tcW w:w="1423" w:type="dxa"/>
            <w:tcBorders>
              <w:top w:val="single" w:sz="4" w:space="0" w:color="auto"/>
            </w:tcBorders>
          </w:tcPr>
          <w:p w14:paraId="3CCC9943" w14:textId="77777777" w:rsidR="00094B95" w:rsidRPr="0025586B" w:rsidRDefault="00094B95" w:rsidP="005C0446">
            <w:pPr>
              <w:rPr>
                <w:rFonts w:ascii="Garamond" w:hAnsi="Garamond" w:cs="Times New Roman"/>
                <w:sz w:val="22"/>
                <w:szCs w:val="22"/>
                <w:lang w:val="en-US"/>
              </w:rPr>
            </w:pPr>
            <w:r w:rsidRPr="0025586B">
              <w:rPr>
                <w:rFonts w:ascii="Garamond" w:hAnsi="Garamond" w:cs="Times New Roman"/>
                <w:sz w:val="22"/>
                <w:szCs w:val="22"/>
                <w:lang w:val="en-US"/>
              </w:rPr>
              <w:t>Semi-elasticity</w:t>
            </w:r>
          </w:p>
        </w:tc>
        <w:tc>
          <w:tcPr>
            <w:tcW w:w="1675" w:type="dxa"/>
            <w:tcBorders>
              <w:top w:val="single" w:sz="4" w:space="0" w:color="auto"/>
            </w:tcBorders>
          </w:tcPr>
          <w:p w14:paraId="10207A02"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US"/>
              </w:rPr>
              <w:t>1.282</w:t>
            </w:r>
          </w:p>
        </w:tc>
        <w:tc>
          <w:tcPr>
            <w:tcW w:w="1517" w:type="dxa"/>
            <w:tcBorders>
              <w:top w:val="single" w:sz="4" w:space="0" w:color="auto"/>
            </w:tcBorders>
          </w:tcPr>
          <w:p w14:paraId="48F549F6"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0.01</w:t>
            </w:r>
          </w:p>
        </w:tc>
        <w:tc>
          <w:tcPr>
            <w:tcW w:w="1594" w:type="dxa"/>
            <w:tcBorders>
              <w:top w:val="single" w:sz="4" w:space="0" w:color="auto"/>
            </w:tcBorders>
          </w:tcPr>
          <w:p w14:paraId="052334CB"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1.282%</w:t>
            </w:r>
          </w:p>
        </w:tc>
      </w:tr>
      <w:tr w:rsidR="00094B95" w:rsidRPr="0025586B" w14:paraId="51807BC5" w14:textId="77777777" w:rsidTr="005C0446">
        <w:tc>
          <w:tcPr>
            <w:tcW w:w="1763" w:type="dxa"/>
          </w:tcPr>
          <w:p w14:paraId="31420050"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CF</w:t>
            </w:r>
          </w:p>
        </w:tc>
        <w:tc>
          <w:tcPr>
            <w:tcW w:w="1666" w:type="dxa"/>
          </w:tcPr>
          <w:p w14:paraId="4C12CC90"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Log (absolute)</w:t>
            </w:r>
          </w:p>
        </w:tc>
        <w:tc>
          <w:tcPr>
            <w:tcW w:w="1423" w:type="dxa"/>
          </w:tcPr>
          <w:p w14:paraId="083E7F71" w14:textId="77777777" w:rsidR="00094B95" w:rsidRPr="0025586B" w:rsidRDefault="00094B95" w:rsidP="005C0446">
            <w:pPr>
              <w:rPr>
                <w:rFonts w:ascii="Garamond" w:hAnsi="Garamond" w:cs="Times New Roman"/>
                <w:sz w:val="22"/>
                <w:szCs w:val="22"/>
                <w:lang w:val="en-US"/>
              </w:rPr>
            </w:pPr>
            <w:r w:rsidRPr="0025586B">
              <w:rPr>
                <w:rFonts w:ascii="Garamond" w:hAnsi="Garamond" w:cs="Times New Roman"/>
                <w:sz w:val="22"/>
                <w:szCs w:val="22"/>
                <w:lang w:val="en-US"/>
              </w:rPr>
              <w:t>Elasticity</w:t>
            </w:r>
          </w:p>
        </w:tc>
        <w:tc>
          <w:tcPr>
            <w:tcW w:w="1675" w:type="dxa"/>
          </w:tcPr>
          <w:p w14:paraId="60ABBE55" w14:textId="77777777" w:rsidR="00094B95" w:rsidRPr="0025586B" w:rsidRDefault="00094B95" w:rsidP="005C0446">
            <w:pPr>
              <w:jc w:val="center"/>
              <w:rPr>
                <w:rFonts w:ascii="Garamond" w:hAnsi="Garamond" w:cs="Times New Roman"/>
                <w:sz w:val="22"/>
                <w:szCs w:val="22"/>
                <w:lang w:val="en-US"/>
              </w:rPr>
            </w:pPr>
            <w:r w:rsidRPr="0025586B">
              <w:rPr>
                <w:rFonts w:ascii="Garamond" w:hAnsi="Garamond" w:cs="Times New Roman"/>
                <w:sz w:val="22"/>
                <w:szCs w:val="22"/>
                <w:lang w:val="en-US"/>
              </w:rPr>
              <w:t>0.040</w:t>
            </w:r>
          </w:p>
        </w:tc>
        <w:tc>
          <w:tcPr>
            <w:tcW w:w="1517" w:type="dxa"/>
          </w:tcPr>
          <w:p w14:paraId="37B1AA22"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1%</w:t>
            </w:r>
          </w:p>
        </w:tc>
        <w:tc>
          <w:tcPr>
            <w:tcW w:w="1594" w:type="dxa"/>
          </w:tcPr>
          <w:p w14:paraId="35D8995E"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US"/>
              </w:rPr>
              <w:t>0.040%</w:t>
            </w:r>
          </w:p>
        </w:tc>
      </w:tr>
      <w:tr w:rsidR="00094B95" w:rsidRPr="0025586B" w14:paraId="257D139F" w14:textId="77777777" w:rsidTr="005C0446">
        <w:tc>
          <w:tcPr>
            <w:tcW w:w="1763" w:type="dxa"/>
          </w:tcPr>
          <w:p w14:paraId="49191F7D"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CORP_TAX</w:t>
            </w:r>
          </w:p>
        </w:tc>
        <w:tc>
          <w:tcPr>
            <w:tcW w:w="1666" w:type="dxa"/>
          </w:tcPr>
          <w:p w14:paraId="63D9DFF7"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Linear (ratio)</w:t>
            </w:r>
          </w:p>
        </w:tc>
        <w:tc>
          <w:tcPr>
            <w:tcW w:w="1423" w:type="dxa"/>
          </w:tcPr>
          <w:p w14:paraId="3871F39A" w14:textId="77777777" w:rsidR="00094B95" w:rsidRPr="0025586B" w:rsidRDefault="00094B95" w:rsidP="005C0446">
            <w:pPr>
              <w:rPr>
                <w:rFonts w:ascii="Garamond" w:hAnsi="Garamond" w:cs="Times New Roman"/>
                <w:sz w:val="22"/>
                <w:szCs w:val="22"/>
                <w:lang w:val="en-US"/>
              </w:rPr>
            </w:pPr>
            <w:r w:rsidRPr="0025586B">
              <w:rPr>
                <w:rFonts w:ascii="Garamond" w:hAnsi="Garamond" w:cs="Times New Roman"/>
                <w:sz w:val="22"/>
                <w:szCs w:val="22"/>
                <w:lang w:val="en-US"/>
              </w:rPr>
              <w:t>Semi-elasticity</w:t>
            </w:r>
          </w:p>
        </w:tc>
        <w:tc>
          <w:tcPr>
            <w:tcW w:w="1675" w:type="dxa"/>
          </w:tcPr>
          <w:p w14:paraId="069B31DE" w14:textId="77777777" w:rsidR="00094B95" w:rsidRPr="0025586B" w:rsidRDefault="00094B95" w:rsidP="005C0446">
            <w:pPr>
              <w:jc w:val="center"/>
              <w:rPr>
                <w:rFonts w:ascii="Garamond" w:hAnsi="Garamond" w:cs="Times New Roman"/>
                <w:sz w:val="22"/>
                <w:szCs w:val="22"/>
                <w:lang w:val="en-US"/>
              </w:rPr>
            </w:pPr>
            <w:r w:rsidRPr="0025586B">
              <w:rPr>
                <w:rFonts w:ascii="Garamond" w:hAnsi="Garamond" w:cs="Times New Roman"/>
                <w:sz w:val="22"/>
                <w:szCs w:val="22"/>
                <w:lang w:val="en-US"/>
              </w:rPr>
              <w:t>-0.014</w:t>
            </w:r>
          </w:p>
        </w:tc>
        <w:tc>
          <w:tcPr>
            <w:tcW w:w="1517" w:type="dxa"/>
          </w:tcPr>
          <w:p w14:paraId="0AD4B9BD"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0.01</w:t>
            </w:r>
          </w:p>
        </w:tc>
        <w:tc>
          <w:tcPr>
            <w:tcW w:w="1594" w:type="dxa"/>
          </w:tcPr>
          <w:p w14:paraId="1DE641F5"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-0.014%</w:t>
            </w:r>
          </w:p>
        </w:tc>
      </w:tr>
      <w:tr w:rsidR="00094B95" w:rsidRPr="0025586B" w14:paraId="72EC2D09" w14:textId="77777777" w:rsidTr="005C0446">
        <w:tc>
          <w:tcPr>
            <w:tcW w:w="1763" w:type="dxa"/>
          </w:tcPr>
          <w:p w14:paraId="4A667668"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DTE</w:t>
            </w:r>
          </w:p>
        </w:tc>
        <w:tc>
          <w:tcPr>
            <w:tcW w:w="1666" w:type="dxa"/>
          </w:tcPr>
          <w:p w14:paraId="57D93DBC"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Linear (ratio)</w:t>
            </w:r>
          </w:p>
        </w:tc>
        <w:tc>
          <w:tcPr>
            <w:tcW w:w="1423" w:type="dxa"/>
          </w:tcPr>
          <w:p w14:paraId="442239DA" w14:textId="77777777" w:rsidR="00094B95" w:rsidRPr="0025586B" w:rsidRDefault="00094B95" w:rsidP="005C0446">
            <w:pPr>
              <w:rPr>
                <w:rFonts w:ascii="Garamond" w:hAnsi="Garamond" w:cs="Times New Roman"/>
                <w:sz w:val="22"/>
                <w:szCs w:val="22"/>
                <w:lang w:val="en-US"/>
              </w:rPr>
            </w:pPr>
            <w:r w:rsidRPr="0025586B">
              <w:rPr>
                <w:rFonts w:ascii="Garamond" w:hAnsi="Garamond" w:cs="Times New Roman"/>
                <w:sz w:val="22"/>
                <w:szCs w:val="22"/>
                <w:lang w:val="en-US"/>
              </w:rPr>
              <w:t>Semi-elasticity</w:t>
            </w:r>
          </w:p>
        </w:tc>
        <w:tc>
          <w:tcPr>
            <w:tcW w:w="1675" w:type="dxa"/>
          </w:tcPr>
          <w:p w14:paraId="701230E4" w14:textId="77777777" w:rsidR="00094B95" w:rsidRPr="0025586B" w:rsidRDefault="00094B95" w:rsidP="005C0446">
            <w:pPr>
              <w:jc w:val="center"/>
              <w:rPr>
                <w:rFonts w:ascii="Garamond" w:hAnsi="Garamond" w:cs="Times New Roman"/>
                <w:sz w:val="22"/>
                <w:szCs w:val="22"/>
                <w:lang w:val="en-US"/>
              </w:rPr>
            </w:pPr>
            <w:r w:rsidRPr="0025586B">
              <w:rPr>
                <w:rFonts w:ascii="Garamond" w:hAnsi="Garamond" w:cs="Times New Roman"/>
                <w:sz w:val="22"/>
                <w:szCs w:val="22"/>
                <w:lang w:val="en-US"/>
              </w:rPr>
              <w:t>0.060</w:t>
            </w:r>
          </w:p>
        </w:tc>
        <w:tc>
          <w:tcPr>
            <w:tcW w:w="1517" w:type="dxa"/>
          </w:tcPr>
          <w:p w14:paraId="04EA8CB9"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0.01</w:t>
            </w:r>
          </w:p>
        </w:tc>
        <w:tc>
          <w:tcPr>
            <w:tcW w:w="1594" w:type="dxa"/>
          </w:tcPr>
          <w:p w14:paraId="35254C48"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0.060%</w:t>
            </w:r>
          </w:p>
        </w:tc>
      </w:tr>
      <w:tr w:rsidR="00094B95" w:rsidRPr="0025586B" w14:paraId="1F797BC3" w14:textId="77777777" w:rsidTr="005C0446">
        <w:tc>
          <w:tcPr>
            <w:tcW w:w="1763" w:type="dxa"/>
            <w:tcBorders>
              <w:bottom w:val="single" w:sz="4" w:space="0" w:color="auto"/>
            </w:tcBorders>
          </w:tcPr>
          <w:p w14:paraId="6988AC07"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LIFE_CYCLE</w:t>
            </w:r>
          </w:p>
        </w:tc>
        <w:tc>
          <w:tcPr>
            <w:tcW w:w="1666" w:type="dxa"/>
            <w:tcBorders>
              <w:bottom w:val="single" w:sz="4" w:space="0" w:color="auto"/>
            </w:tcBorders>
          </w:tcPr>
          <w:p w14:paraId="3B3C68D4" w14:textId="77777777" w:rsidR="00094B95" w:rsidRPr="0025586B" w:rsidRDefault="00094B95" w:rsidP="005C0446">
            <w:pPr>
              <w:jc w:val="both"/>
              <w:rPr>
                <w:rFonts w:ascii="Garamond" w:hAnsi="Garamond" w:cs="Times New Roman"/>
                <w:sz w:val="22"/>
                <w:szCs w:val="22"/>
                <w:lang w:val="en-GB"/>
              </w:rPr>
            </w:pPr>
            <w:r w:rsidRPr="0025586B">
              <w:rPr>
                <w:rFonts w:ascii="Garamond" w:hAnsi="Garamond" w:cs="Times New Roman"/>
                <w:sz w:val="22"/>
                <w:szCs w:val="22"/>
                <w:lang w:val="en-GB"/>
              </w:rPr>
              <w:t>Linear (ratio)</w:t>
            </w:r>
          </w:p>
        </w:tc>
        <w:tc>
          <w:tcPr>
            <w:tcW w:w="1423" w:type="dxa"/>
            <w:tcBorders>
              <w:bottom w:val="single" w:sz="4" w:space="0" w:color="auto"/>
            </w:tcBorders>
          </w:tcPr>
          <w:p w14:paraId="178E5027" w14:textId="77777777" w:rsidR="00094B95" w:rsidRPr="0025586B" w:rsidRDefault="00094B95" w:rsidP="005C0446">
            <w:pPr>
              <w:rPr>
                <w:rFonts w:ascii="Garamond" w:hAnsi="Garamond" w:cs="Times New Roman"/>
                <w:sz w:val="22"/>
                <w:szCs w:val="22"/>
                <w:lang w:val="en-US"/>
              </w:rPr>
            </w:pPr>
            <w:r w:rsidRPr="0025586B">
              <w:rPr>
                <w:rFonts w:ascii="Garamond" w:hAnsi="Garamond" w:cs="Times New Roman"/>
                <w:sz w:val="22"/>
                <w:szCs w:val="22"/>
                <w:lang w:val="en-US"/>
              </w:rPr>
              <w:t>Semi-elasticity</w:t>
            </w:r>
          </w:p>
        </w:tc>
        <w:tc>
          <w:tcPr>
            <w:tcW w:w="1675" w:type="dxa"/>
            <w:tcBorders>
              <w:bottom w:val="single" w:sz="4" w:space="0" w:color="auto"/>
            </w:tcBorders>
          </w:tcPr>
          <w:p w14:paraId="49A5B86A" w14:textId="77777777" w:rsidR="00094B95" w:rsidRPr="0025586B" w:rsidRDefault="00094B95" w:rsidP="005C0446">
            <w:pPr>
              <w:jc w:val="center"/>
              <w:rPr>
                <w:rFonts w:ascii="Garamond" w:hAnsi="Garamond" w:cs="Times New Roman"/>
                <w:sz w:val="22"/>
                <w:szCs w:val="22"/>
                <w:lang w:val="en-US"/>
              </w:rPr>
            </w:pPr>
            <w:r w:rsidRPr="0025586B">
              <w:rPr>
                <w:rFonts w:ascii="Garamond" w:hAnsi="Garamond" w:cs="Times New Roman"/>
                <w:sz w:val="22"/>
                <w:szCs w:val="22"/>
                <w:lang w:val="en-US"/>
              </w:rPr>
              <w:t>-0.589</w:t>
            </w:r>
          </w:p>
        </w:tc>
        <w:tc>
          <w:tcPr>
            <w:tcW w:w="1517" w:type="dxa"/>
            <w:tcBorders>
              <w:bottom w:val="single" w:sz="4" w:space="0" w:color="auto"/>
            </w:tcBorders>
          </w:tcPr>
          <w:p w14:paraId="75A0A8F3"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0.01</w:t>
            </w:r>
          </w:p>
        </w:tc>
        <w:tc>
          <w:tcPr>
            <w:tcW w:w="1594" w:type="dxa"/>
            <w:tcBorders>
              <w:bottom w:val="single" w:sz="4" w:space="0" w:color="auto"/>
            </w:tcBorders>
          </w:tcPr>
          <w:p w14:paraId="2F7E6871" w14:textId="77777777" w:rsidR="00094B95" w:rsidRPr="0025586B" w:rsidRDefault="00094B95" w:rsidP="005C0446">
            <w:pPr>
              <w:jc w:val="center"/>
              <w:rPr>
                <w:rFonts w:ascii="Garamond" w:hAnsi="Garamond" w:cs="Times New Roman"/>
                <w:sz w:val="22"/>
                <w:szCs w:val="22"/>
                <w:lang w:val="en-GB"/>
              </w:rPr>
            </w:pPr>
            <w:r w:rsidRPr="0025586B">
              <w:rPr>
                <w:rFonts w:ascii="Garamond" w:hAnsi="Garamond" w:cs="Times New Roman"/>
                <w:sz w:val="22"/>
                <w:szCs w:val="22"/>
                <w:lang w:val="en-GB"/>
              </w:rPr>
              <w:t>-0.589%</w:t>
            </w:r>
          </w:p>
        </w:tc>
      </w:tr>
    </w:tbl>
    <w:p w14:paraId="0985A82B" w14:textId="1942C2F3" w:rsidR="003048E7" w:rsidRPr="009F6CCE" w:rsidRDefault="00094B95" w:rsidP="00846750">
      <w:pPr>
        <w:jc w:val="both"/>
        <w:rPr>
          <w:rFonts w:ascii="Times New Roman" w:hAnsi="Times New Roman" w:cs="Times New Roman"/>
          <w:b/>
          <w:sz w:val="20"/>
          <w:szCs w:val="20"/>
          <w:lang w:val="en-GB"/>
        </w:rPr>
      </w:pPr>
      <w:r w:rsidRPr="009F6CCE">
        <w:rPr>
          <w:rFonts w:ascii="Times New Roman" w:hAnsi="Times New Roman" w:cs="Times New Roman"/>
          <w:sz w:val="20"/>
          <w:szCs w:val="20"/>
          <w:lang w:val="en-GB"/>
        </w:rPr>
        <w:t xml:space="preserve">The dependent </w:t>
      </w:r>
      <w:r w:rsidR="00846750" w:rsidRPr="009F6CCE">
        <w:rPr>
          <w:rFonts w:ascii="Times New Roman" w:hAnsi="Times New Roman" w:cs="Times New Roman"/>
          <w:sz w:val="20"/>
          <w:szCs w:val="20"/>
          <w:lang w:val="en-GB"/>
        </w:rPr>
        <w:t xml:space="preserve">variable we consider here is the dividend </w:t>
      </w:r>
      <w:proofErr w:type="spellStart"/>
      <w:r w:rsidR="00846750" w:rsidRPr="009F6CCE">
        <w:rPr>
          <w:rFonts w:ascii="Times New Roman" w:hAnsi="Times New Roman" w:cs="Times New Roman"/>
          <w:sz w:val="20"/>
          <w:szCs w:val="20"/>
          <w:lang w:val="en-GB"/>
        </w:rPr>
        <w:t>payout</w:t>
      </w:r>
      <w:proofErr w:type="spellEnd"/>
      <w:r w:rsidR="00846750" w:rsidRPr="009F6CCE">
        <w:rPr>
          <w:rFonts w:ascii="Times New Roman" w:hAnsi="Times New Roman" w:cs="Times New Roman"/>
          <w:sz w:val="20"/>
          <w:szCs w:val="20"/>
          <w:lang w:val="en-GB"/>
        </w:rPr>
        <w:t xml:space="preserve"> ratio (</w:t>
      </w:r>
      <w:r w:rsidR="00846750" w:rsidRPr="009F6CCE">
        <w:rPr>
          <w:rFonts w:ascii="Times New Roman" w:hAnsi="Times New Roman" w:cs="Times New Roman"/>
          <w:i/>
          <w:sz w:val="20"/>
          <w:szCs w:val="20"/>
          <w:lang w:val="en-GB"/>
        </w:rPr>
        <w:t>DP</w:t>
      </w:r>
      <w:r w:rsidR="00846750" w:rsidRPr="009F6CCE">
        <w:rPr>
          <w:rFonts w:ascii="Times New Roman" w:hAnsi="Times New Roman" w:cs="Times New Roman"/>
          <w:sz w:val="20"/>
          <w:szCs w:val="20"/>
          <w:lang w:val="en-GB"/>
        </w:rPr>
        <w:t xml:space="preserve">), without the logarithmic transformation. </w:t>
      </w:r>
      <w:proofErr w:type="gramStart"/>
      <w:r w:rsidR="00846750" w:rsidRPr="009F6CCE">
        <w:rPr>
          <w:rFonts w:ascii="Times New Roman" w:hAnsi="Times New Roman" w:cs="Times New Roman"/>
          <w:i/>
          <w:sz w:val="20"/>
          <w:szCs w:val="20"/>
          <w:lang w:val="en-GB"/>
        </w:rPr>
        <w:t>x</w:t>
      </w:r>
      <w:proofErr w:type="gramEnd"/>
      <w:r w:rsidR="00846750" w:rsidRPr="009F6CCE">
        <w:rPr>
          <w:rFonts w:ascii="Times New Roman" w:hAnsi="Times New Roman" w:cs="Times New Roman"/>
          <w:sz w:val="20"/>
          <w:szCs w:val="20"/>
          <w:lang w:val="en-GB"/>
        </w:rPr>
        <w:t xml:space="preserve"> represents each factor affecting the dividend </w:t>
      </w:r>
      <w:proofErr w:type="spellStart"/>
      <w:r w:rsidR="00846750" w:rsidRPr="009F6CCE">
        <w:rPr>
          <w:rFonts w:ascii="Times New Roman" w:hAnsi="Times New Roman" w:cs="Times New Roman"/>
          <w:sz w:val="20"/>
          <w:szCs w:val="20"/>
          <w:lang w:val="en-GB"/>
        </w:rPr>
        <w:t>payout</w:t>
      </w:r>
      <w:proofErr w:type="spellEnd"/>
      <w:r w:rsidR="00846750" w:rsidRPr="009F6CCE">
        <w:rPr>
          <w:rFonts w:ascii="Times New Roman" w:hAnsi="Times New Roman" w:cs="Times New Roman"/>
          <w:sz w:val="20"/>
          <w:szCs w:val="20"/>
          <w:lang w:val="en-GB"/>
        </w:rPr>
        <w:t xml:space="preserve">. </w:t>
      </w:r>
      <w:r w:rsidR="00846750" w:rsidRPr="009F6CCE">
        <w:rPr>
          <w:rFonts w:ascii="Times New Roman" w:hAnsi="Times New Roman" w:cs="Times New Roman"/>
          <w:i/>
          <w:sz w:val="20"/>
          <w:szCs w:val="20"/>
          <w:lang w:val="en-GB"/>
        </w:rPr>
        <w:t>Functional form</w:t>
      </w:r>
      <w:r w:rsidR="00846750" w:rsidRPr="009F6CCE">
        <w:rPr>
          <w:rFonts w:ascii="Times New Roman" w:hAnsi="Times New Roman" w:cs="Times New Roman"/>
          <w:sz w:val="20"/>
          <w:szCs w:val="20"/>
          <w:lang w:val="en-GB"/>
        </w:rPr>
        <w:t xml:space="preserve"> is the form we chose for each explanatory variable in our baseline model.</w:t>
      </w:r>
      <w:r w:rsidR="00846750" w:rsidRPr="009F6CCE">
        <w:rPr>
          <w:rFonts w:ascii="Garamond" w:hAnsi="Garamond" w:cs="Times New Roman"/>
          <w:sz w:val="20"/>
          <w:szCs w:val="20"/>
          <w:lang w:val="en-GB"/>
        </w:rPr>
        <w:t xml:space="preserve"> </w:t>
      </w:r>
      <w:r w:rsidR="00846750" w:rsidRPr="009F6CCE">
        <w:rPr>
          <w:rFonts w:ascii="Times New Roman" w:hAnsi="Times New Roman" w:cs="Times New Roman"/>
          <w:i/>
          <w:sz w:val="20"/>
          <w:szCs w:val="20"/>
          <w:lang w:val="en-GB"/>
        </w:rPr>
        <w:t>∆DP</w:t>
      </w:r>
      <w:r w:rsidR="00846750" w:rsidRPr="009F6CCE">
        <w:rPr>
          <w:rFonts w:ascii="Times New Roman" w:hAnsi="Times New Roman" w:cs="Times New Roman"/>
          <w:b/>
          <w:sz w:val="20"/>
          <w:szCs w:val="20"/>
          <w:lang w:val="en-GB"/>
        </w:rPr>
        <w:t xml:space="preserve"> </w:t>
      </w:r>
      <w:r w:rsidR="00846750" w:rsidRPr="009F6CCE">
        <w:rPr>
          <w:rFonts w:ascii="Times New Roman" w:hAnsi="Times New Roman" w:cs="Times New Roman"/>
          <w:sz w:val="20"/>
          <w:szCs w:val="20"/>
          <w:lang w:val="en-GB"/>
        </w:rPr>
        <w:t xml:space="preserve">is then the change in dividend </w:t>
      </w:r>
      <w:proofErr w:type="spellStart"/>
      <w:r w:rsidR="00846750" w:rsidRPr="009F6CCE">
        <w:rPr>
          <w:rFonts w:ascii="Times New Roman" w:hAnsi="Times New Roman" w:cs="Times New Roman"/>
          <w:sz w:val="20"/>
          <w:szCs w:val="20"/>
          <w:lang w:val="en-GB"/>
        </w:rPr>
        <w:t>payout</w:t>
      </w:r>
      <w:proofErr w:type="spellEnd"/>
      <w:r w:rsidR="00846750" w:rsidRPr="009F6CCE">
        <w:rPr>
          <w:rFonts w:ascii="Times New Roman" w:hAnsi="Times New Roman" w:cs="Times New Roman"/>
          <w:sz w:val="20"/>
          <w:szCs w:val="20"/>
          <w:lang w:val="en-GB"/>
        </w:rPr>
        <w:t xml:space="preserve"> corresponding to a change in each explanatory variable by </w:t>
      </w:r>
      <w:r w:rsidR="00846750" w:rsidRPr="009F6CCE">
        <w:rPr>
          <w:rFonts w:ascii="Times New Roman" w:hAnsi="Times New Roman" w:cs="Times New Roman"/>
          <w:i/>
          <w:sz w:val="20"/>
          <w:szCs w:val="20"/>
          <w:lang w:val="en-GB"/>
        </w:rPr>
        <w:t>∆x</w:t>
      </w:r>
      <w:r w:rsidR="00846750" w:rsidRPr="009F6CCE">
        <w:rPr>
          <w:rFonts w:ascii="Times New Roman" w:hAnsi="Times New Roman" w:cs="Times New Roman"/>
          <w:sz w:val="20"/>
          <w:szCs w:val="20"/>
          <w:lang w:val="en-GB"/>
        </w:rPr>
        <w:t>, ceteris paribus.</w:t>
      </w:r>
      <w:r w:rsidR="003048E7" w:rsidRPr="009F6CCE">
        <w:rPr>
          <w:rFonts w:ascii="Times New Roman" w:hAnsi="Times New Roman" w:cs="Times New Roman"/>
          <w:b/>
          <w:sz w:val="20"/>
          <w:szCs w:val="20"/>
          <w:lang w:val="en-GB"/>
        </w:rPr>
        <w:br w:type="page"/>
      </w:r>
    </w:p>
    <w:p w14:paraId="692BFBDA" w14:textId="192B3626" w:rsidR="00FE4310" w:rsidRPr="00FE4310" w:rsidRDefault="00FE4310" w:rsidP="003048E7">
      <w:pPr>
        <w:jc w:val="center"/>
        <w:rPr>
          <w:rFonts w:ascii="Times New Roman" w:hAnsi="Times New Roman" w:cs="Times New Roman"/>
          <w:b/>
          <w:sz w:val="32"/>
          <w:szCs w:val="32"/>
          <w:lang w:val="en-GB"/>
        </w:rPr>
      </w:pPr>
      <w:r w:rsidRPr="00FE4310">
        <w:rPr>
          <w:rFonts w:ascii="Times New Roman" w:hAnsi="Times New Roman" w:cs="Times New Roman"/>
          <w:b/>
          <w:sz w:val="32"/>
          <w:szCs w:val="32"/>
          <w:lang w:val="en-GB"/>
        </w:rPr>
        <w:lastRenderedPageBreak/>
        <w:t>APPENDIX B</w:t>
      </w:r>
    </w:p>
    <w:p w14:paraId="0D912A6B" w14:textId="62BEBEDF" w:rsidR="00FE4310" w:rsidRPr="00FE4310" w:rsidRDefault="00FE4310" w:rsidP="00FE4310">
      <w:pPr>
        <w:jc w:val="center"/>
        <w:rPr>
          <w:rFonts w:ascii="Times New Roman" w:hAnsi="Times New Roman" w:cs="Times New Roman"/>
          <w:b/>
          <w:sz w:val="32"/>
          <w:szCs w:val="32"/>
          <w:lang w:val="en-GB"/>
        </w:rPr>
      </w:pPr>
      <w:r w:rsidRPr="00FE4310">
        <w:rPr>
          <w:rFonts w:ascii="Times New Roman" w:hAnsi="Times New Roman" w:cs="Times New Roman"/>
          <w:b/>
          <w:sz w:val="32"/>
          <w:szCs w:val="32"/>
          <w:lang w:val="en-GB"/>
        </w:rPr>
        <w:t>FIGURES</w:t>
      </w:r>
    </w:p>
    <w:p w14:paraId="5769B6A8" w14:textId="77777777" w:rsidR="00FE4310" w:rsidRPr="0025586B" w:rsidRDefault="00FE4310" w:rsidP="00974FC5">
      <w:pPr>
        <w:jc w:val="both"/>
        <w:rPr>
          <w:rFonts w:ascii="Times New Roman" w:hAnsi="Times New Roman" w:cs="Times New Roman"/>
          <w:b/>
          <w:lang w:val="en-GB"/>
        </w:rPr>
      </w:pPr>
    </w:p>
    <w:p w14:paraId="7C892E9B" w14:textId="0F89A9C7" w:rsidR="00A6726C" w:rsidRPr="0025586B" w:rsidRDefault="00A6726C" w:rsidP="00974FC5">
      <w:pPr>
        <w:jc w:val="both"/>
        <w:rPr>
          <w:rFonts w:ascii="Times New Roman" w:hAnsi="Times New Roman" w:cs="Times New Roman"/>
          <w:b/>
          <w:lang w:val="en-GB"/>
        </w:rPr>
      </w:pPr>
      <w:r w:rsidRPr="0025586B">
        <w:rPr>
          <w:rFonts w:ascii="Times New Roman" w:hAnsi="Times New Roman" w:cs="Times New Roman"/>
          <w:b/>
          <w:lang w:val="en-GB"/>
        </w:rPr>
        <w:t>Figure 1.</w:t>
      </w:r>
      <w:r w:rsidR="00FE4310" w:rsidRPr="0025586B">
        <w:rPr>
          <w:rFonts w:ascii="Times New Roman" w:hAnsi="Times New Roman" w:cs="Times New Roman"/>
          <w:b/>
          <w:lang w:val="en-GB"/>
        </w:rPr>
        <w:t xml:space="preserve"> Distribution of the logarithm of </w:t>
      </w:r>
      <w:r w:rsidR="00777DEB" w:rsidRPr="0025586B">
        <w:rPr>
          <w:rFonts w:ascii="Times New Roman" w:hAnsi="Times New Roman" w:cs="Times New Roman"/>
          <w:b/>
          <w:lang w:val="en-GB"/>
        </w:rPr>
        <w:t xml:space="preserve">dividend </w:t>
      </w:r>
      <w:proofErr w:type="spellStart"/>
      <w:r w:rsidR="00777DEB" w:rsidRPr="0025586B">
        <w:rPr>
          <w:rFonts w:ascii="Times New Roman" w:hAnsi="Times New Roman" w:cs="Times New Roman"/>
          <w:b/>
          <w:lang w:val="en-GB"/>
        </w:rPr>
        <w:t>payout</w:t>
      </w:r>
      <w:proofErr w:type="spellEnd"/>
      <w:r w:rsidR="00777DEB" w:rsidRPr="0025586B">
        <w:rPr>
          <w:rFonts w:ascii="Times New Roman" w:hAnsi="Times New Roman" w:cs="Times New Roman"/>
          <w:b/>
          <w:lang w:val="en-GB"/>
        </w:rPr>
        <w:t xml:space="preserve"> (</w:t>
      </w:r>
      <w:r w:rsidR="0025586B">
        <w:rPr>
          <w:rFonts w:ascii="Times New Roman" w:hAnsi="Times New Roman" w:cs="Times New Roman"/>
          <w:b/>
          <w:i/>
          <w:lang w:val="en-GB"/>
        </w:rPr>
        <w:t>LN_DP</w:t>
      </w:r>
      <w:r w:rsidR="00777DEB" w:rsidRPr="0025586B">
        <w:rPr>
          <w:rFonts w:ascii="Times New Roman" w:hAnsi="Times New Roman" w:cs="Times New Roman"/>
          <w:b/>
          <w:lang w:val="en-GB"/>
        </w:rPr>
        <w:t>).</w:t>
      </w:r>
    </w:p>
    <w:p w14:paraId="7126FC08" w14:textId="1CA1DB64" w:rsidR="00777DEB" w:rsidRPr="0025586B" w:rsidRDefault="00777DEB" w:rsidP="00974FC5">
      <w:pPr>
        <w:jc w:val="both"/>
        <w:rPr>
          <w:rFonts w:ascii="Times New Roman" w:hAnsi="Times New Roman" w:cs="Times New Roman"/>
          <w:b/>
          <w:lang w:val="en-GB"/>
        </w:rPr>
      </w:pPr>
      <w:r w:rsidRPr="0025586B">
        <w:rPr>
          <w:rFonts w:ascii="Times New Roman" w:hAnsi="Times New Roman" w:cs="Times New Roman"/>
          <w:noProof/>
          <w:lang w:eastAsia="it-IT"/>
        </w:rPr>
        <w:drawing>
          <wp:inline distT="0" distB="0" distL="0" distR="0" wp14:anchorId="086A5968" wp14:editId="4308645A">
            <wp:extent cx="3571336" cy="26014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1.png"/>
                    <pic:cNvPicPr/>
                  </pic:nvPicPr>
                  <pic:blipFill>
                    <a:blip r:embed="rId19">
                      <a:extLst>
                        <a:ext uri="{28A0092B-C50C-407E-A947-70E740481C1C}">
                          <a14:useLocalDpi xmlns:a14="http://schemas.microsoft.com/office/drawing/2010/main" val="0"/>
                        </a:ext>
                      </a:extLst>
                    </a:blip>
                    <a:stretch>
                      <a:fillRect/>
                    </a:stretch>
                  </pic:blipFill>
                  <pic:spPr>
                    <a:xfrm>
                      <a:off x="0" y="0"/>
                      <a:ext cx="3574420" cy="2603684"/>
                    </a:xfrm>
                    <a:prstGeom prst="rect">
                      <a:avLst/>
                    </a:prstGeom>
                  </pic:spPr>
                </pic:pic>
              </a:graphicData>
            </a:graphic>
          </wp:inline>
        </w:drawing>
      </w:r>
    </w:p>
    <w:p w14:paraId="33FE9734" w14:textId="77777777" w:rsidR="00777DEB" w:rsidRPr="0025586B" w:rsidRDefault="00777DEB" w:rsidP="00974FC5">
      <w:pPr>
        <w:jc w:val="both"/>
        <w:rPr>
          <w:rFonts w:ascii="Times New Roman" w:hAnsi="Times New Roman" w:cs="Times New Roman"/>
          <w:b/>
          <w:lang w:val="en-GB"/>
        </w:rPr>
      </w:pPr>
    </w:p>
    <w:p w14:paraId="47638CA7" w14:textId="16E1208E" w:rsidR="00FE4310" w:rsidRPr="0025586B" w:rsidRDefault="00FE4310" w:rsidP="00974FC5">
      <w:pPr>
        <w:jc w:val="both"/>
        <w:rPr>
          <w:rFonts w:ascii="Times New Roman" w:hAnsi="Times New Roman" w:cs="Times New Roman"/>
          <w:b/>
          <w:lang w:val="en-GB"/>
        </w:rPr>
      </w:pPr>
      <w:r w:rsidRPr="0025586B">
        <w:rPr>
          <w:rFonts w:ascii="Times New Roman" w:hAnsi="Times New Roman" w:cs="Times New Roman"/>
          <w:b/>
          <w:lang w:val="en-GB"/>
        </w:rPr>
        <w:t xml:space="preserve">Figure 2. Distribution of the </w:t>
      </w:r>
      <w:proofErr w:type="spellStart"/>
      <w:r w:rsidRPr="0025586B">
        <w:rPr>
          <w:rFonts w:ascii="Times New Roman" w:hAnsi="Times New Roman" w:cs="Times New Roman"/>
          <w:b/>
          <w:lang w:val="en-GB"/>
        </w:rPr>
        <w:t>Winsorised</w:t>
      </w:r>
      <w:proofErr w:type="spellEnd"/>
      <w:r w:rsidRPr="0025586B">
        <w:rPr>
          <w:rFonts w:ascii="Times New Roman" w:hAnsi="Times New Roman" w:cs="Times New Roman"/>
          <w:b/>
          <w:lang w:val="en-GB"/>
        </w:rPr>
        <w:t xml:space="preserve"> logarithm of dividend </w:t>
      </w:r>
      <w:proofErr w:type="spellStart"/>
      <w:r w:rsidRPr="0025586B">
        <w:rPr>
          <w:rFonts w:ascii="Times New Roman" w:hAnsi="Times New Roman" w:cs="Times New Roman"/>
          <w:b/>
          <w:lang w:val="en-GB"/>
        </w:rPr>
        <w:t>payout</w:t>
      </w:r>
      <w:proofErr w:type="spellEnd"/>
      <w:r w:rsidRPr="0025586B">
        <w:rPr>
          <w:rFonts w:ascii="Times New Roman" w:hAnsi="Times New Roman" w:cs="Times New Roman"/>
          <w:b/>
          <w:lang w:val="en-GB"/>
        </w:rPr>
        <w:t xml:space="preserve">, after omitting </w:t>
      </w:r>
      <w:proofErr w:type="spellStart"/>
      <w:r w:rsidRPr="0025586B">
        <w:rPr>
          <w:rFonts w:ascii="Times New Roman" w:hAnsi="Times New Roman" w:cs="Times New Roman"/>
          <w:b/>
          <w:lang w:val="en-GB"/>
        </w:rPr>
        <w:t>Winsorised</w:t>
      </w:r>
      <w:proofErr w:type="spellEnd"/>
      <w:r w:rsidRPr="0025586B">
        <w:rPr>
          <w:rFonts w:ascii="Times New Roman" w:hAnsi="Times New Roman" w:cs="Times New Roman"/>
          <w:b/>
          <w:lang w:val="en-GB"/>
        </w:rPr>
        <w:t xml:space="preserve"> values (</w:t>
      </w:r>
      <w:r w:rsidR="0025586B">
        <w:rPr>
          <w:rFonts w:ascii="Times New Roman" w:hAnsi="Times New Roman" w:cs="Times New Roman"/>
          <w:b/>
          <w:i/>
          <w:lang w:val="en-GB"/>
        </w:rPr>
        <w:t>WLN_DP</w:t>
      </w:r>
      <w:r w:rsidRPr="0025586B">
        <w:rPr>
          <w:rFonts w:ascii="Times New Roman" w:hAnsi="Times New Roman" w:cs="Times New Roman"/>
          <w:b/>
          <w:lang w:val="en-GB"/>
        </w:rPr>
        <w:t>).</w:t>
      </w:r>
    </w:p>
    <w:p w14:paraId="2BF1DB48" w14:textId="5CC894EB" w:rsidR="00FE4310" w:rsidRPr="0025586B" w:rsidRDefault="00FE4310" w:rsidP="00974FC5">
      <w:pPr>
        <w:jc w:val="both"/>
        <w:rPr>
          <w:rFonts w:ascii="Times New Roman" w:hAnsi="Times New Roman" w:cs="Times New Roman"/>
          <w:b/>
          <w:lang w:val="en-GB"/>
        </w:rPr>
      </w:pPr>
      <w:r w:rsidRPr="0025586B">
        <w:rPr>
          <w:rFonts w:ascii="Times New Roman" w:hAnsi="Times New Roman" w:cs="Times New Roman"/>
          <w:noProof/>
          <w:lang w:eastAsia="it-IT"/>
        </w:rPr>
        <w:drawing>
          <wp:inline distT="0" distB="0" distL="0" distR="0" wp14:anchorId="718A4AF4" wp14:editId="4962AA4C">
            <wp:extent cx="3540943" cy="257929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2.png"/>
                    <pic:cNvPicPr/>
                  </pic:nvPicPr>
                  <pic:blipFill>
                    <a:blip r:embed="rId20">
                      <a:extLst>
                        <a:ext uri="{28A0092B-C50C-407E-A947-70E740481C1C}">
                          <a14:useLocalDpi xmlns:a14="http://schemas.microsoft.com/office/drawing/2010/main" val="0"/>
                        </a:ext>
                      </a:extLst>
                    </a:blip>
                    <a:stretch>
                      <a:fillRect/>
                    </a:stretch>
                  </pic:blipFill>
                  <pic:spPr>
                    <a:xfrm>
                      <a:off x="0" y="0"/>
                      <a:ext cx="3590999" cy="2615760"/>
                    </a:xfrm>
                    <a:prstGeom prst="rect">
                      <a:avLst/>
                    </a:prstGeom>
                  </pic:spPr>
                </pic:pic>
              </a:graphicData>
            </a:graphic>
          </wp:inline>
        </w:drawing>
      </w:r>
      <w:r w:rsidRPr="0025586B">
        <w:rPr>
          <w:rFonts w:ascii="Times New Roman" w:hAnsi="Times New Roman" w:cs="Times New Roman"/>
          <w:b/>
          <w:lang w:val="en-GB"/>
        </w:rPr>
        <w:br w:type="page"/>
      </w:r>
    </w:p>
    <w:p w14:paraId="1605EBFE" w14:textId="24A2B9D5" w:rsidR="00FE4310" w:rsidRPr="0025586B" w:rsidRDefault="00FE4310" w:rsidP="00974FC5">
      <w:pPr>
        <w:jc w:val="both"/>
        <w:rPr>
          <w:rFonts w:ascii="Times New Roman" w:hAnsi="Times New Roman" w:cs="Times New Roman"/>
          <w:b/>
          <w:lang w:val="en-GB"/>
        </w:rPr>
      </w:pPr>
      <w:r w:rsidRPr="0025586B">
        <w:rPr>
          <w:rFonts w:ascii="Times New Roman" w:hAnsi="Times New Roman" w:cs="Times New Roman"/>
          <w:b/>
          <w:lang w:val="en-GB"/>
        </w:rPr>
        <w:lastRenderedPageBreak/>
        <w:t>Figure 3. Scatterplot matrix.</w:t>
      </w:r>
    </w:p>
    <w:p w14:paraId="507084E3" w14:textId="07A6C63F" w:rsidR="00FE4310" w:rsidRPr="0025586B" w:rsidRDefault="00FE4310" w:rsidP="00974FC5">
      <w:pPr>
        <w:jc w:val="both"/>
        <w:rPr>
          <w:rFonts w:ascii="Times New Roman" w:hAnsi="Times New Roman" w:cs="Times New Roman"/>
          <w:b/>
          <w:lang w:val="en-GB"/>
        </w:rPr>
      </w:pPr>
      <w:r w:rsidRPr="0025586B">
        <w:rPr>
          <w:rFonts w:ascii="Times New Roman" w:hAnsi="Times New Roman" w:cs="Times New Roman"/>
          <w:noProof/>
          <w:lang w:eastAsia="it-IT"/>
        </w:rPr>
        <w:drawing>
          <wp:inline distT="0" distB="0" distL="0" distR="0" wp14:anchorId="241000D5" wp14:editId="652EE618">
            <wp:extent cx="4334400" cy="3157268"/>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matr.png"/>
                    <pic:cNvPicPr/>
                  </pic:nvPicPr>
                  <pic:blipFill>
                    <a:blip r:embed="rId21">
                      <a:extLst>
                        <a:ext uri="{28A0092B-C50C-407E-A947-70E740481C1C}">
                          <a14:useLocalDpi xmlns:a14="http://schemas.microsoft.com/office/drawing/2010/main" val="0"/>
                        </a:ext>
                      </a:extLst>
                    </a:blip>
                    <a:stretch>
                      <a:fillRect/>
                    </a:stretch>
                  </pic:blipFill>
                  <pic:spPr>
                    <a:xfrm>
                      <a:off x="0" y="0"/>
                      <a:ext cx="4339406" cy="3160914"/>
                    </a:xfrm>
                    <a:prstGeom prst="rect">
                      <a:avLst/>
                    </a:prstGeom>
                  </pic:spPr>
                </pic:pic>
              </a:graphicData>
            </a:graphic>
          </wp:inline>
        </w:drawing>
      </w:r>
    </w:p>
    <w:p w14:paraId="12F184F0" w14:textId="77777777" w:rsidR="0025586B" w:rsidRPr="0025586B" w:rsidRDefault="0025586B" w:rsidP="00974FC5">
      <w:pPr>
        <w:jc w:val="both"/>
        <w:rPr>
          <w:rFonts w:ascii="Times New Roman" w:hAnsi="Times New Roman" w:cs="Times New Roman"/>
          <w:b/>
          <w:lang w:val="en-GB"/>
        </w:rPr>
      </w:pPr>
    </w:p>
    <w:p w14:paraId="53028E96" w14:textId="0F3647C5" w:rsidR="0025586B" w:rsidRPr="0025586B" w:rsidRDefault="0025586B" w:rsidP="00974FC5">
      <w:pPr>
        <w:jc w:val="both"/>
        <w:rPr>
          <w:rFonts w:ascii="Times New Roman" w:hAnsi="Times New Roman" w:cs="Times New Roman"/>
          <w:b/>
          <w:lang w:val="en-GB"/>
        </w:rPr>
      </w:pPr>
      <w:r w:rsidRPr="0025586B">
        <w:rPr>
          <w:rFonts w:ascii="Times New Roman" w:hAnsi="Times New Roman" w:cs="Times New Roman"/>
          <w:b/>
          <w:lang w:val="en-GB"/>
        </w:rPr>
        <w:t>Figure 4. Quantile-quantile plot</w:t>
      </w:r>
      <w:r>
        <w:rPr>
          <w:rFonts w:ascii="Times New Roman" w:hAnsi="Times New Roman" w:cs="Times New Roman"/>
          <w:b/>
          <w:lang w:val="en-GB"/>
        </w:rPr>
        <w:t xml:space="preserve"> of </w:t>
      </w:r>
      <w:r>
        <w:rPr>
          <w:rFonts w:ascii="Times New Roman" w:hAnsi="Times New Roman" w:cs="Times New Roman"/>
          <w:b/>
          <w:i/>
          <w:lang w:val="en-GB"/>
        </w:rPr>
        <w:t>WLN_DP</w:t>
      </w:r>
      <w:r w:rsidRPr="0025586B">
        <w:rPr>
          <w:rFonts w:ascii="Times New Roman" w:hAnsi="Times New Roman" w:cs="Times New Roman"/>
          <w:b/>
          <w:lang w:val="en-GB"/>
        </w:rPr>
        <w:t>.</w:t>
      </w:r>
    </w:p>
    <w:p w14:paraId="4C97FDC6" w14:textId="505B9CDC" w:rsidR="0025586B" w:rsidRPr="0025586B" w:rsidRDefault="0025586B" w:rsidP="00974FC5">
      <w:pPr>
        <w:jc w:val="both"/>
        <w:rPr>
          <w:rFonts w:ascii="Times New Roman" w:hAnsi="Times New Roman" w:cs="Times New Roman"/>
          <w:b/>
          <w:lang w:val="en-GB"/>
        </w:rPr>
      </w:pPr>
      <w:r w:rsidRPr="0025586B">
        <w:rPr>
          <w:rFonts w:ascii="Times New Roman" w:hAnsi="Times New Roman" w:cs="Times New Roman"/>
          <w:noProof/>
          <w:lang w:eastAsia="it-IT"/>
        </w:rPr>
        <w:drawing>
          <wp:inline distT="0" distB="0" distL="0" distR="0" wp14:anchorId="659D83FA" wp14:editId="66DD08C7">
            <wp:extent cx="2846717" cy="207360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norm.png"/>
                    <pic:cNvPicPr/>
                  </pic:nvPicPr>
                  <pic:blipFill>
                    <a:blip r:embed="rId22">
                      <a:extLst>
                        <a:ext uri="{28A0092B-C50C-407E-A947-70E740481C1C}">
                          <a14:useLocalDpi xmlns:a14="http://schemas.microsoft.com/office/drawing/2010/main" val="0"/>
                        </a:ext>
                      </a:extLst>
                    </a:blip>
                    <a:stretch>
                      <a:fillRect/>
                    </a:stretch>
                  </pic:blipFill>
                  <pic:spPr>
                    <a:xfrm>
                      <a:off x="0" y="0"/>
                      <a:ext cx="2876266" cy="2095132"/>
                    </a:xfrm>
                    <a:prstGeom prst="rect">
                      <a:avLst/>
                    </a:prstGeom>
                  </pic:spPr>
                </pic:pic>
              </a:graphicData>
            </a:graphic>
          </wp:inline>
        </w:drawing>
      </w:r>
    </w:p>
    <w:p w14:paraId="1497DBC2" w14:textId="77777777" w:rsidR="0025586B" w:rsidRPr="0025586B" w:rsidRDefault="0025586B" w:rsidP="00974FC5">
      <w:pPr>
        <w:jc w:val="both"/>
        <w:rPr>
          <w:rFonts w:ascii="Times New Roman" w:hAnsi="Times New Roman" w:cs="Times New Roman"/>
          <w:b/>
          <w:lang w:val="en-GB"/>
        </w:rPr>
      </w:pPr>
    </w:p>
    <w:p w14:paraId="06C169DC" w14:textId="3C429BE4" w:rsidR="0025586B" w:rsidRPr="0025586B" w:rsidRDefault="0025586B" w:rsidP="00974FC5">
      <w:pPr>
        <w:jc w:val="both"/>
        <w:rPr>
          <w:rFonts w:ascii="Times New Roman" w:hAnsi="Times New Roman" w:cs="Times New Roman"/>
          <w:b/>
          <w:lang w:val="en-GB"/>
        </w:rPr>
      </w:pPr>
      <w:r w:rsidRPr="0025586B">
        <w:rPr>
          <w:rFonts w:ascii="Times New Roman" w:hAnsi="Times New Roman" w:cs="Times New Roman"/>
          <w:b/>
          <w:lang w:val="en-GB"/>
        </w:rPr>
        <w:t>Figure 5. Normal probability plot</w:t>
      </w:r>
      <w:r>
        <w:rPr>
          <w:rFonts w:ascii="Times New Roman" w:hAnsi="Times New Roman" w:cs="Times New Roman"/>
          <w:b/>
          <w:lang w:val="en-GB"/>
        </w:rPr>
        <w:t xml:space="preserve"> of </w:t>
      </w:r>
      <w:r w:rsidRPr="0025586B">
        <w:rPr>
          <w:rFonts w:ascii="Times New Roman" w:hAnsi="Times New Roman" w:cs="Times New Roman"/>
          <w:b/>
          <w:i/>
          <w:lang w:val="en-GB"/>
        </w:rPr>
        <w:t>WLN_DP</w:t>
      </w:r>
      <w:r w:rsidRPr="0025586B">
        <w:rPr>
          <w:rFonts w:ascii="Times New Roman" w:hAnsi="Times New Roman" w:cs="Times New Roman"/>
          <w:b/>
          <w:lang w:val="en-GB"/>
        </w:rPr>
        <w:t>.</w:t>
      </w:r>
    </w:p>
    <w:p w14:paraId="158B32D9" w14:textId="6895A804" w:rsidR="0025586B" w:rsidRDefault="0025586B" w:rsidP="00974FC5">
      <w:pPr>
        <w:jc w:val="both"/>
        <w:rPr>
          <w:b/>
          <w:lang w:val="en-GB"/>
        </w:rPr>
      </w:pPr>
      <w:r>
        <w:rPr>
          <w:rFonts w:ascii="Times New Roman" w:hAnsi="Times New Roman" w:cs="Times New Roman"/>
          <w:noProof/>
          <w:lang w:eastAsia="it-IT"/>
        </w:rPr>
        <w:drawing>
          <wp:inline distT="0" distB="0" distL="0" distR="0" wp14:anchorId="4828868C" wp14:editId="55BE9548">
            <wp:extent cx="2846717" cy="2068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norm.png"/>
                    <pic:cNvPicPr/>
                  </pic:nvPicPr>
                  <pic:blipFill>
                    <a:blip r:embed="rId23">
                      <a:extLst>
                        <a:ext uri="{28A0092B-C50C-407E-A947-70E740481C1C}">
                          <a14:useLocalDpi xmlns:a14="http://schemas.microsoft.com/office/drawing/2010/main" val="0"/>
                        </a:ext>
                      </a:extLst>
                    </a:blip>
                    <a:stretch>
                      <a:fillRect/>
                    </a:stretch>
                  </pic:blipFill>
                  <pic:spPr>
                    <a:xfrm>
                      <a:off x="0" y="0"/>
                      <a:ext cx="2888854" cy="2099315"/>
                    </a:xfrm>
                    <a:prstGeom prst="rect">
                      <a:avLst/>
                    </a:prstGeom>
                  </pic:spPr>
                </pic:pic>
              </a:graphicData>
            </a:graphic>
          </wp:inline>
        </w:drawing>
      </w:r>
    </w:p>
    <w:p w14:paraId="7AB3C407" w14:textId="6E7D530B" w:rsidR="00797955" w:rsidRPr="00911565" w:rsidRDefault="00797955" w:rsidP="00974FC5">
      <w:pPr>
        <w:jc w:val="both"/>
        <w:rPr>
          <w:rFonts w:ascii="Times New Roman" w:hAnsi="Times New Roman" w:cs="Times New Roman"/>
          <w:b/>
          <w:lang w:val="en-GB"/>
        </w:rPr>
      </w:pPr>
      <w:r w:rsidRPr="00911565">
        <w:rPr>
          <w:rFonts w:ascii="Times New Roman" w:hAnsi="Times New Roman" w:cs="Times New Roman"/>
          <w:b/>
          <w:lang w:val="en-GB"/>
        </w:rPr>
        <w:lastRenderedPageBreak/>
        <w:t>Figure 6. Kernel density plot of the residuals from our baseline regression.</w:t>
      </w:r>
    </w:p>
    <w:p w14:paraId="1D975027" w14:textId="2394F071" w:rsidR="00797955" w:rsidRPr="00911565" w:rsidRDefault="00797955" w:rsidP="00974FC5">
      <w:pPr>
        <w:jc w:val="both"/>
        <w:rPr>
          <w:rFonts w:ascii="Times New Roman" w:hAnsi="Times New Roman" w:cs="Times New Roman"/>
          <w:b/>
          <w:lang w:val="en-GB"/>
        </w:rPr>
      </w:pPr>
      <w:r w:rsidRPr="00911565">
        <w:rPr>
          <w:rFonts w:ascii="Times New Roman" w:hAnsi="Times New Roman" w:cs="Times New Roman"/>
          <w:b/>
          <w:noProof/>
          <w:lang w:eastAsia="it-IT"/>
        </w:rPr>
        <w:drawing>
          <wp:inline distT="0" distB="0" distL="0" distR="0" wp14:anchorId="06CC286E" wp14:editId="4E525ECF">
            <wp:extent cx="3450566" cy="2525389"/>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60358" cy="2532556"/>
                    </a:xfrm>
                    <a:prstGeom prst="rect">
                      <a:avLst/>
                    </a:prstGeom>
                    <a:noFill/>
                    <a:ln>
                      <a:noFill/>
                    </a:ln>
                  </pic:spPr>
                </pic:pic>
              </a:graphicData>
            </a:graphic>
          </wp:inline>
        </w:drawing>
      </w:r>
    </w:p>
    <w:p w14:paraId="672688A6" w14:textId="77777777" w:rsidR="00911565" w:rsidRPr="00911565" w:rsidRDefault="00911565" w:rsidP="00974FC5">
      <w:pPr>
        <w:jc w:val="both"/>
        <w:rPr>
          <w:rFonts w:ascii="Times New Roman" w:hAnsi="Times New Roman" w:cs="Times New Roman"/>
          <w:b/>
          <w:lang w:val="en-GB"/>
        </w:rPr>
      </w:pPr>
    </w:p>
    <w:p w14:paraId="4C553985" w14:textId="459391DA" w:rsidR="00911565" w:rsidRPr="00911565" w:rsidRDefault="00911565" w:rsidP="00974FC5">
      <w:pPr>
        <w:jc w:val="both"/>
        <w:rPr>
          <w:rFonts w:ascii="Times New Roman" w:hAnsi="Times New Roman" w:cs="Times New Roman"/>
          <w:b/>
          <w:lang w:val="en-GB"/>
        </w:rPr>
      </w:pPr>
      <w:r w:rsidRPr="00911565">
        <w:rPr>
          <w:rFonts w:ascii="Times New Roman" w:hAnsi="Times New Roman" w:cs="Times New Roman"/>
          <w:b/>
          <w:lang w:val="en-GB"/>
        </w:rPr>
        <w:t>Figure 7. Normal probability plot of the residuals from our baseline regression.</w:t>
      </w:r>
    </w:p>
    <w:p w14:paraId="7F42ED39" w14:textId="47953F07" w:rsidR="00911565" w:rsidRDefault="00911565" w:rsidP="00974FC5">
      <w:pPr>
        <w:jc w:val="both"/>
        <w:rPr>
          <w:b/>
          <w:lang w:val="en-GB"/>
        </w:rPr>
      </w:pPr>
      <w:r w:rsidRPr="00911565">
        <w:rPr>
          <w:b/>
          <w:noProof/>
          <w:lang w:eastAsia="it-IT"/>
        </w:rPr>
        <w:drawing>
          <wp:inline distT="0" distB="0" distL="0" distR="0" wp14:anchorId="679DBF79" wp14:editId="4C49F148">
            <wp:extent cx="3449955" cy="2524943"/>
            <wp:effectExtent l="0" t="0" r="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64161" cy="2535340"/>
                    </a:xfrm>
                    <a:prstGeom prst="rect">
                      <a:avLst/>
                    </a:prstGeom>
                    <a:noFill/>
                    <a:ln>
                      <a:noFill/>
                    </a:ln>
                  </pic:spPr>
                </pic:pic>
              </a:graphicData>
            </a:graphic>
          </wp:inline>
        </w:drawing>
      </w:r>
    </w:p>
    <w:sectPr w:rsidR="00911565" w:rsidSect="00BA47C6">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580BC" w14:textId="77777777" w:rsidR="00631852" w:rsidRDefault="00631852" w:rsidP="009F6CCE">
      <w:pPr>
        <w:spacing w:after="0" w:line="240" w:lineRule="auto"/>
      </w:pPr>
      <w:r>
        <w:separator/>
      </w:r>
    </w:p>
  </w:endnote>
  <w:endnote w:type="continuationSeparator" w:id="0">
    <w:p w14:paraId="6D0C0A06" w14:textId="77777777" w:rsidR="00631852" w:rsidRDefault="00631852" w:rsidP="009F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005690"/>
      <w:docPartObj>
        <w:docPartGallery w:val="Page Numbers (Bottom of Page)"/>
        <w:docPartUnique/>
      </w:docPartObj>
    </w:sdtPr>
    <w:sdtEndPr/>
    <w:sdtContent>
      <w:p w14:paraId="31ADC183" w14:textId="0DA001F5" w:rsidR="009F6CCE" w:rsidRDefault="009F6CCE">
        <w:pPr>
          <w:pStyle w:val="Pidipagina"/>
          <w:jc w:val="center"/>
        </w:pPr>
        <w:r>
          <w:fldChar w:fldCharType="begin"/>
        </w:r>
        <w:r>
          <w:instrText>PAGE   \* MERGEFORMAT</w:instrText>
        </w:r>
        <w:r>
          <w:fldChar w:fldCharType="separate"/>
        </w:r>
        <w:r w:rsidR="002C7C92">
          <w:rPr>
            <w:noProof/>
          </w:rPr>
          <w:t>1</w:t>
        </w:r>
        <w:r>
          <w:fldChar w:fldCharType="end"/>
        </w:r>
      </w:p>
    </w:sdtContent>
  </w:sdt>
  <w:p w14:paraId="3A6C064D" w14:textId="77777777" w:rsidR="009F6CCE" w:rsidRDefault="009F6CC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A8A4A" w14:textId="77777777" w:rsidR="00631852" w:rsidRDefault="00631852" w:rsidP="009F6CCE">
      <w:pPr>
        <w:spacing w:after="0" w:line="240" w:lineRule="auto"/>
      </w:pPr>
      <w:r>
        <w:separator/>
      </w:r>
    </w:p>
  </w:footnote>
  <w:footnote w:type="continuationSeparator" w:id="0">
    <w:p w14:paraId="27F0FE02" w14:textId="77777777" w:rsidR="00631852" w:rsidRDefault="00631852" w:rsidP="009F6C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30E16"/>
    <w:multiLevelType w:val="hybridMultilevel"/>
    <w:tmpl w:val="6A84CD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F3"/>
    <w:rsid w:val="00022AE1"/>
    <w:rsid w:val="00070C32"/>
    <w:rsid w:val="000801F3"/>
    <w:rsid w:val="00094B95"/>
    <w:rsid w:val="0025586B"/>
    <w:rsid w:val="002A364A"/>
    <w:rsid w:val="002C7C92"/>
    <w:rsid w:val="002E10CB"/>
    <w:rsid w:val="003048E7"/>
    <w:rsid w:val="003724AE"/>
    <w:rsid w:val="005300E1"/>
    <w:rsid w:val="005A647A"/>
    <w:rsid w:val="005F697D"/>
    <w:rsid w:val="00631852"/>
    <w:rsid w:val="00777DEB"/>
    <w:rsid w:val="0078167B"/>
    <w:rsid w:val="00797955"/>
    <w:rsid w:val="00846750"/>
    <w:rsid w:val="00911565"/>
    <w:rsid w:val="00974FC5"/>
    <w:rsid w:val="009F6CCE"/>
    <w:rsid w:val="00A364F3"/>
    <w:rsid w:val="00A6726C"/>
    <w:rsid w:val="00B159F6"/>
    <w:rsid w:val="00BA47C6"/>
    <w:rsid w:val="00BB741A"/>
    <w:rsid w:val="00C939CA"/>
    <w:rsid w:val="00E41339"/>
    <w:rsid w:val="00EA2763"/>
    <w:rsid w:val="00EA53B4"/>
    <w:rsid w:val="00EC4AF9"/>
    <w:rsid w:val="00F26201"/>
    <w:rsid w:val="00FE4310"/>
    <w:rsid w:val="2D8922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85C3"/>
  <w15:chartTrackingRefBased/>
  <w15:docId w15:val="{4F4C5FDC-15E0-4EB1-AAE9-38563841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801F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801F3"/>
    <w:rPr>
      <w:rFonts w:ascii="Segoe UI" w:hAnsi="Segoe UI" w:cs="Segoe UI"/>
      <w:sz w:val="18"/>
      <w:szCs w:val="18"/>
    </w:rPr>
  </w:style>
  <w:style w:type="character" w:styleId="Collegamentoipertestuale">
    <w:name w:val="Hyperlink"/>
    <w:basedOn w:val="Carpredefinitoparagrafo"/>
    <w:uiPriority w:val="99"/>
    <w:semiHidden/>
    <w:unhideWhenUsed/>
    <w:rsid w:val="000801F3"/>
    <w:rPr>
      <w:color w:val="0000FF"/>
      <w:u w:val="single"/>
    </w:rPr>
  </w:style>
  <w:style w:type="table" w:styleId="Grigliatabella">
    <w:name w:val="Table Grid"/>
    <w:basedOn w:val="Tabellanormale"/>
    <w:uiPriority w:val="39"/>
    <w:rsid w:val="00F2620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26201"/>
    <w:pPr>
      <w:ind w:left="720"/>
      <w:contextualSpacing/>
    </w:pPr>
  </w:style>
  <w:style w:type="paragraph" w:styleId="Intestazione">
    <w:name w:val="header"/>
    <w:basedOn w:val="Normale"/>
    <w:link w:val="IntestazioneCarattere"/>
    <w:uiPriority w:val="99"/>
    <w:unhideWhenUsed/>
    <w:rsid w:val="009F6C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F6CCE"/>
  </w:style>
  <w:style w:type="paragraph" w:styleId="Pidipagina">
    <w:name w:val="footer"/>
    <w:basedOn w:val="Normale"/>
    <w:link w:val="PidipaginaCarattere"/>
    <w:uiPriority w:val="99"/>
    <w:unhideWhenUsed/>
    <w:rsid w:val="009F6C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F6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15</Pages>
  <Words>2908</Words>
  <Characters>16578</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PAOLETTI</dc:creator>
  <cp:keywords/>
  <dc:description/>
  <cp:lastModifiedBy>Valter Veggiato</cp:lastModifiedBy>
  <cp:revision>4</cp:revision>
  <dcterms:created xsi:type="dcterms:W3CDTF">2020-01-08T11:21:00Z</dcterms:created>
  <dcterms:modified xsi:type="dcterms:W3CDTF">2020-01-08T15:34:00Z</dcterms:modified>
</cp:coreProperties>
</file>