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exact"/>
      </w:pPr>
      <w:r>
        <w:rPr>
          <w:rFonts w:ascii="Calibri" w:hAnsi="Calibri"/>
          <w:b w:val="0"/>
          <w:i w:val="0"/>
          <w:color w:val="333333"/>
          <w:sz w:val="12"/>
        </w:rPr>
        <w:t xml:space="preserve"> </w:t>
      </w:r>
    </w:p>
    <w:p>
      <w:pPr>
        <w:spacing w:before="0" w:after="80"/>
      </w:pPr>
      <w:r>
        <w:rPr>
          <w:rFonts w:ascii="Calibri" w:hAnsi="Calibri"/>
          <w:b/>
          <w:i w:val="0"/>
          <w:color w:val="080808"/>
          <w:sz w:val="56"/>
        </w:rPr>
        <w:t>Found Room</w:t>
      </w:r>
    </w:p>
    <w:p>
      <w:pPr>
        <w:spacing w:before="0" w:after="40"/>
      </w:pPr>
      <w:r>
        <w:rPr>
          <w:rFonts w:ascii="Calibri" w:hAnsi="Calibri"/>
          <w:b w:val="0"/>
          <w:i w:val="0"/>
          <w:color w:val="333333"/>
          <w:sz w:val="36"/>
        </w:rPr>
        <w:t>Funnel Reorientation Plan</w:t>
      </w:r>
    </w:p>
    <w:p>
      <w:pPr>
        <w:spacing w:before="0" w:after="0"/>
      </w:pPr>
      <w:r>
        <w:rPr>
          <w:rFonts w:ascii="Calibri" w:hAnsi="Calibri"/>
          <w:b w:val="0"/>
          <w:i w:val="0"/>
          <w:color w:val="888888"/>
          <w:sz w:val="20"/>
        </w:rPr>
        <w:t>March 2026</w:t>
      </w:r>
    </w:p>
    <w:p>
      <w:pPr>
        <w:spacing w:before="0" w:after="0" w:line="160" w:lineRule="exact"/>
      </w:pPr>
      <w:r>
        <w:rPr>
          <w:rFonts w:ascii="Calibri" w:hAnsi="Calibri"/>
          <w:b w:val="0"/>
          <w:i w:val="0"/>
          <w:color w:val="333333"/>
          <w:sz w:val="8"/>
        </w:rPr>
        <w:t xml:space="preserve"> </w:t>
      </w:r>
    </w:p>
    <w:p>
      <w:pPr>
        <w:spacing w:before="0" w:after="0"/>
        <w:pBdr>
          <w:bottom w:val="single" w:sz="12" w:space="1" w:color="111111"/>
        </w:pBdr>
      </w:pPr>
    </w:p>
    <w:p>
      <w:pPr>
        <w:spacing w:before="0" w:after="0" w:line="320" w:lineRule="exact"/>
      </w:pPr>
      <w:r>
        <w:rPr>
          <w:rFonts w:ascii="Calibri" w:hAnsi="Calibri"/>
          <w:b w:val="0"/>
          <w:i w:val="0"/>
          <w:color w:val="333333"/>
          <w:sz w:val="16"/>
        </w:rPr>
        <w:t xml:space="preserve"> </w:t>
      </w:r>
    </w:p>
    <w:p>
      <w:pPr>
        <w:spacing w:before="0" w:after="160"/>
      </w:pPr>
      <w:r>
        <w:rPr>
          <w:rFonts w:ascii="Calibri" w:hAnsi="Calibri"/>
          <w:b/>
          <w:i w:val="0"/>
          <w:color w:val="080808"/>
          <w:sz w:val="26"/>
        </w:rPr>
        <w:t>Overview</w:t>
      </w:r>
    </w:p>
    <w:p>
      <w:pPr>
        <w:spacing w:before="0" w:after="120"/>
      </w:pPr>
      <w:r>
        <w:rPr>
          <w:rFonts w:ascii="Calibri" w:hAnsi="Calibri"/>
          <w:b w:val="0"/>
          <w:i w:val="0"/>
          <w:color w:val="333333"/>
          <w:sz w:val="22"/>
        </w:rPr>
        <w:t>The site has strong content and a clear offer. The structural problem is that there is one qualifying path (The Identity Cost to The Right Room) and everything else is navigation. A founder who arrives through any other door is not walked through the thinking that makes the offer make sense. This plan addresses five issues, ordered by what they cost in lost conversions. The first three are site changes. The last two require new content.</w:t>
      </w:r>
    </w:p>
    <w:p>
      <w:pPr>
        <w:spacing w:before="0" w:after="0" w:line="120" w:lineRule="exact"/>
      </w:pPr>
      <w:r>
        <w:rPr>
          <w:rFonts w:ascii="Calibri" w:hAnsi="Calibri"/>
          <w:b w:val="0"/>
          <w:i w:val="0"/>
          <w:color w:val="333333"/>
          <w:sz w:val="6"/>
        </w:rPr>
        <w:t xml:space="preserve"> </w:t>
      </w:r>
    </w:p>
    <w:p>
      <w:pPr>
        <w:spacing w:before="0" w:after="0"/>
        <w:pBdr>
          <w:bottom w:val="single" w:sz="4" w:space="1" w:color="CCCCCC"/>
        </w:pBdr>
      </w:pPr>
    </w:p>
    <w:p>
      <w:pPr>
        <w:spacing w:before="0" w:after="0" w:line="320" w:lineRule="exact"/>
      </w:pPr>
      <w:r>
        <w:rPr>
          <w:rFonts w:ascii="Calibri" w:hAnsi="Calibri"/>
          <w:b w:val="0"/>
          <w:i w:val="0"/>
          <w:color w:val="333333"/>
          <w:sz w:val="16"/>
        </w:rPr>
        <w:t xml:space="preserve"> </w:t>
      </w:r>
    </w:p>
    <w:p>
      <w:pPr>
        <w:spacing w:before="0" w:after="80"/>
      </w:pPr>
      <w:r>
        <w:rPr>
          <w:rFonts w:ascii="Calibri" w:hAnsi="Calibri"/>
          <w:b/>
          <w:i w:val="0"/>
          <w:color w:val="CCCCCC"/>
          <w:sz w:val="40"/>
        </w:rPr>
        <w:t xml:space="preserve">01  </w:t>
      </w:r>
      <w:r>
        <w:rPr>
          <w:rFonts w:ascii="Calibri" w:hAnsi="Calibri"/>
          <w:b/>
          <w:i w:val="0"/>
          <w:color w:val="080808"/>
          <w:sz w:val="32"/>
        </w:rPr>
        <w:t>The Calendly CTA reads as a sales call</w:t>
      </w:r>
    </w:p>
    <w:p>
      <w:pPr>
        <w:spacing w:before="0" w:after="200"/>
      </w:pPr>
      <w:r>
        <w:rPr>
          <w:rFonts w:ascii="Calibri" w:hAnsi="Calibri"/>
          <w:b/>
          <w:i w:val="0"/>
          <w:color w:val="B82929"/>
          <w:sz w:val="18"/>
        </w:rPr>
        <w:t>Tier 1 — Fix immediately</w:t>
      </w:r>
    </w:p>
    <w:p>
      <w:pPr>
        <w:spacing w:before="0" w:after="60"/>
      </w:pPr>
      <w:r>
        <w:rPr>
          <w:rFonts w:ascii="Calibri" w:hAnsi="Calibri"/>
          <w:b/>
          <w:i w:val="0"/>
          <w:color w:val="888888"/>
          <w:sz w:val="16"/>
        </w:rPr>
        <w:t>THE PROBLEM</w:t>
      </w:r>
    </w:p>
    <w:p>
      <w:pPr>
        <w:spacing w:before="0" w:after="160"/>
      </w:pPr>
      <w:r>
        <w:rPr>
          <w:rFonts w:ascii="Calibri" w:hAnsi="Calibri"/>
          <w:b w:val="0"/>
          <w:i w:val="0"/>
          <w:color w:val="333333"/>
          <w:sz w:val="21"/>
        </w:rPr>
        <w:t>Every page on the site has a "Let's Talk" button in the top nav that links directly to a 30-minute Calendly. This ICP has been on enough sales calls to be allergic to ambiguity. A bare CTA with no context tells him nothing about what he is agreeing to. He reads it as: someone is going to try to sell me something for 30 minutes. He closes the tab.</w:t>
      </w:r>
    </w:p>
    <w:p>
      <w:pPr>
        <w:spacing w:before="0" w:after="60"/>
      </w:pPr>
      <w:r>
        <w:rPr>
          <w:rFonts w:ascii="Calibri" w:hAnsi="Calibri"/>
          <w:b/>
          <w:i w:val="0"/>
          <w:color w:val="888888"/>
          <w:sz w:val="16"/>
        </w:rPr>
        <w:t>WHAT IT COSTS</w:t>
      </w:r>
    </w:p>
    <w:p>
      <w:pPr>
        <w:spacing w:before="0" w:after="160"/>
      </w:pPr>
      <w:r>
        <w:rPr>
          <w:rFonts w:ascii="Calibri" w:hAnsi="Calibri"/>
          <w:b w:val="0"/>
          <w:i/>
          <w:color w:val="333333"/>
          <w:sz w:val="21"/>
        </w:rPr>
        <w:t>This affects every founder who has read the essays, read The Identity Cost, read The Right Room page, and arrived at a moment of interest. The CTA is the last step before conversion and it is the one with the least information.</w:t>
      </w:r>
    </w:p>
    <w:p>
      <w:pPr>
        <w:spacing w:before="0" w:after="60"/>
      </w:pPr>
      <w:r>
        <w:rPr>
          <w:rFonts w:ascii="Calibri" w:hAnsi="Calibri"/>
          <w:b/>
          <w:i w:val="0"/>
          <w:color w:val="888888"/>
          <w:sz w:val="16"/>
        </w:rPr>
        <w:t>THE FIX</w:t>
      </w:r>
    </w:p>
    <w:p>
      <w:pPr>
        <w:spacing w:before="0" w:after="160"/>
      </w:pPr>
      <w:r>
        <w:rPr>
          <w:rFonts w:ascii="Calibri" w:hAnsi="Calibri"/>
          <w:b/>
          <w:i w:val="0"/>
          <w:color w:val="080808"/>
          <w:sz w:val="21"/>
        </w:rPr>
        <w:t>Add one sentence of framing to the About page before the Calendly link, and update the nav CTA label.</w:t>
      </w:r>
    </w:p>
    <w:p>
      <w:pPr>
        <w:spacing w:before="0" w:after="60"/>
      </w:pPr>
      <w:r>
        <w:rPr>
          <w:rFonts w:ascii="Calibri" w:hAnsi="Calibri"/>
          <w:b/>
          <w:i w:val="0"/>
          <w:color w:val="888888"/>
          <w:sz w:val="16"/>
        </w:rPr>
        <w:t>IMPLEMENTATION</w:t>
      </w:r>
    </w:p>
    <w:p>
      <w:pPr>
        <w:spacing w:before="0" w:after="100"/>
        <w:ind w:left="288"/>
      </w:pPr>
      <w:r>
        <w:rPr>
          <w:rFonts w:ascii="Calibri" w:hAnsi="Calibri"/>
          <w:color w:val="333333"/>
          <w:sz w:val="21"/>
        </w:rPr>
        <w:t>–  Change the nav CTA from "Let's Talk" to "Book a Conversation" — this is concrete, not corporate.</w:t>
      </w:r>
    </w:p>
    <w:p>
      <w:pPr>
        <w:spacing w:before="0" w:after="100"/>
        <w:ind w:left="288"/>
      </w:pPr>
      <w:r>
        <w:rPr>
          <w:rFonts w:ascii="Calibri" w:hAnsi="Calibri"/>
          <w:color w:val="333333"/>
          <w:sz w:val="21"/>
        </w:rPr>
        <w:t>–  On the About page, above the existing Calendly "Book a Call" link, add: "I do a short introductory conversation with founders who are curious about The Right Room or who want to think out loud with someone who has been in the room. Thirty minutes. No agenda from my side."</w:t>
      </w:r>
    </w:p>
    <w:p>
      <w:pPr>
        <w:spacing w:before="0" w:after="100"/>
        <w:ind w:left="288"/>
      </w:pPr>
      <w:r>
        <w:rPr>
          <w:rFonts w:ascii="Calibri" w:hAnsi="Calibri"/>
          <w:color w:val="333333"/>
          <w:sz w:val="21"/>
        </w:rPr>
        <w:t>–  This gives the founder a contract. He knows what he is showing up to. The Calendly link then functions as confirmation, not a mystery door.</w:t>
      </w:r>
    </w:p>
    <w:p>
      <w:pPr>
        <w:spacing w:before="0" w:after="0" w:line="80" w:lineRule="exact"/>
      </w:pPr>
      <w:r>
        <w:rPr>
          <w:rFonts w:ascii="Calibri" w:hAnsi="Calibri"/>
          <w:b w:val="0"/>
          <w:i w:val="0"/>
          <w:color w:val="333333"/>
          <w:sz w:val="4"/>
        </w:rPr>
        <w:t xml:space="preserve"> </w:t>
      </w:r>
    </w:p>
    <w:p>
      <w:pPr>
        <w:spacing w:before="0" w:after="60"/>
      </w:pPr>
      <w:r>
        <w:rPr>
          <w:rFonts w:ascii="Calibri" w:hAnsi="Calibri"/>
          <w:b/>
          <w:i w:val="0"/>
          <w:color w:val="888888"/>
          <w:sz w:val="16"/>
        </w:rPr>
        <w:t>FILES</w:t>
      </w:r>
    </w:p>
    <w:p>
      <w:pPr>
        <w:spacing w:before="0" w:after="60"/>
        <w:ind w:left="288"/>
      </w:pPr>
      <w:r>
        <w:rPr>
          <w:rFonts w:ascii="Courier New" w:hAnsi="Courier New"/>
          <w:b w:val="0"/>
          <w:i w:val="0"/>
          <w:color w:val="888888"/>
          <w:sz w:val="18"/>
        </w:rPr>
        <w:t>_src/partials/header.html — change CTA text to "Book a Conversation"</w:t>
      </w:r>
    </w:p>
    <w:p>
      <w:pPr>
        <w:spacing w:before="0" w:after="60"/>
        <w:ind w:left="288"/>
      </w:pPr>
      <w:r>
        <w:rPr>
          <w:rFonts w:ascii="Courier New" w:hAnsi="Courier New"/>
          <w:b w:val="0"/>
          <w:i w:val="0"/>
          <w:color w:val="888888"/>
          <w:sz w:val="18"/>
        </w:rPr>
        <w:t>_src/pages/about/sections/ — add framing paragraph before the CTA run</w:t>
      </w:r>
    </w:p>
    <w:p>
      <w:pPr>
        <w:spacing w:before="0" w:after="0" w:line="160" w:lineRule="exact"/>
      </w:pPr>
      <w:r>
        <w:rPr>
          <w:rFonts w:ascii="Calibri" w:hAnsi="Calibri"/>
          <w:b w:val="0"/>
          <w:i w:val="0"/>
          <w:color w:val="333333"/>
          <w:sz w:val="8"/>
        </w:rPr>
        <w:t xml:space="preserve"> </w:t>
      </w:r>
    </w:p>
    <w:p>
      <w:pPr>
        <w:spacing w:before="0" w:after="0"/>
        <w:pBdr>
          <w:bottom w:val="single" w:sz="4" w:space="1" w:color="DDDDDD"/>
        </w:pBdr>
      </w:pPr>
    </w:p>
    <w:p>
      <w:pPr>
        <w:spacing w:before="0" w:after="0" w:line="280" w:lineRule="exact"/>
      </w:pPr>
      <w:r>
        <w:rPr>
          <w:rFonts w:ascii="Calibri" w:hAnsi="Calibri"/>
          <w:b w:val="0"/>
          <w:i w:val="0"/>
          <w:color w:val="333333"/>
          <w:sz w:val="14"/>
        </w:rPr>
        <w:t xml:space="preserve"> </w:t>
      </w:r>
    </w:p>
    <w:p>
      <w:pPr>
        <w:spacing w:before="0" w:after="80"/>
      </w:pPr>
      <w:r>
        <w:rPr>
          <w:rFonts w:ascii="Calibri" w:hAnsi="Calibri"/>
          <w:b/>
          <w:i w:val="0"/>
          <w:color w:val="CCCCCC"/>
          <w:sz w:val="40"/>
        </w:rPr>
        <w:t xml:space="preserve">02  </w:t>
      </w:r>
      <w:r>
        <w:rPr>
          <w:rFonts w:ascii="Calibri" w:hAnsi="Calibri"/>
          <w:b/>
          <w:i w:val="0"/>
          <w:color w:val="080808"/>
          <w:sz w:val="32"/>
        </w:rPr>
        <w:t>Entry-point offers are positioned below the commitment anchor</w:t>
      </w:r>
    </w:p>
    <w:p>
      <w:pPr>
        <w:spacing w:before="0" w:after="200"/>
      </w:pPr>
      <w:r>
        <w:rPr>
          <w:rFonts w:ascii="Calibri" w:hAnsi="Calibri"/>
          <w:b/>
          <w:i w:val="0"/>
          <w:color w:val="B82929"/>
          <w:sz w:val="18"/>
        </w:rPr>
        <w:t>Tier 1 — Fix immediately</w:t>
      </w:r>
    </w:p>
    <w:p>
      <w:pPr>
        <w:spacing w:before="0" w:after="60"/>
      </w:pPr>
      <w:r>
        <w:rPr>
          <w:rFonts w:ascii="Calibri" w:hAnsi="Calibri"/>
          <w:b/>
          <w:i w:val="0"/>
          <w:color w:val="888888"/>
          <w:sz w:val="16"/>
        </w:rPr>
        <w:t>THE PROBLEM</w:t>
      </w:r>
    </w:p>
    <w:p>
      <w:pPr>
        <w:spacing w:before="0" w:after="160"/>
      </w:pPr>
      <w:r>
        <w:rPr>
          <w:rFonts w:ascii="Calibri" w:hAnsi="Calibri"/>
          <w:b w:val="0"/>
          <w:i w:val="0"/>
          <w:color w:val="333333"/>
          <w:sz w:val="21"/>
        </w:rPr>
        <w:t>The Right Room page opens with "Annual membership" language in the second section. By the time a founder reads that framing, he has anchored the entire page as a large annual commitment. The Group Conversation ($200) and Private Conversation ($1,125) appear below Who Belongs, after the commitment has already been established in his mind. The lower-stakes entry points are positioned as footnotes to a $6,000 decision rather than as the first step of a natural progression.</w:t>
      </w:r>
    </w:p>
    <w:p>
      <w:pPr>
        <w:spacing w:before="0" w:after="60"/>
      </w:pPr>
      <w:r>
        <w:rPr>
          <w:rFonts w:ascii="Calibri" w:hAnsi="Calibri"/>
          <w:b/>
          <w:i w:val="0"/>
          <w:color w:val="888888"/>
          <w:sz w:val="16"/>
        </w:rPr>
        <w:t>WHAT IT COSTS</w:t>
      </w:r>
    </w:p>
    <w:p>
      <w:pPr>
        <w:spacing w:before="0" w:after="160"/>
      </w:pPr>
      <w:r>
        <w:rPr>
          <w:rFonts w:ascii="Calibri" w:hAnsi="Calibri"/>
          <w:b w:val="0"/>
          <w:i/>
          <w:color w:val="333333"/>
          <w:sz w:val="21"/>
        </w:rPr>
        <w:t>Founders who are not ready to commit to a year read the membership framing and leave. They never see the $200 option. The page is doing the opposite of what it should: narrowing the audience instead of widening the door.</w:t>
      </w:r>
    </w:p>
    <w:p>
      <w:pPr>
        <w:spacing w:before="0" w:after="60"/>
      </w:pPr>
      <w:r>
        <w:rPr>
          <w:rFonts w:ascii="Calibri" w:hAnsi="Calibri"/>
          <w:b/>
          <w:i w:val="0"/>
          <w:color w:val="888888"/>
          <w:sz w:val="16"/>
        </w:rPr>
        <w:t>THE FIX</w:t>
      </w:r>
    </w:p>
    <w:p>
      <w:pPr>
        <w:spacing w:before="0" w:after="160"/>
      </w:pPr>
      <w:r>
        <w:rPr>
          <w:rFonts w:ascii="Calibri" w:hAnsi="Calibri"/>
          <w:b/>
          <w:i w:val="0"/>
          <w:color w:val="080808"/>
          <w:sz w:val="21"/>
        </w:rPr>
        <w:t>Move the entry-point offer section to appear immediately after the hero. Let the founder see the low-commitment on-ramp before he reads about the full membership.</w:t>
      </w:r>
    </w:p>
    <w:p>
      <w:pPr>
        <w:spacing w:before="0" w:after="60"/>
      </w:pPr>
      <w:r>
        <w:rPr>
          <w:rFonts w:ascii="Calibri" w:hAnsi="Calibri"/>
          <w:b/>
          <w:i w:val="0"/>
          <w:color w:val="888888"/>
          <w:sz w:val="16"/>
        </w:rPr>
        <w:t>IMPLEMENTATION</w:t>
      </w:r>
    </w:p>
    <w:p>
      <w:pPr>
        <w:spacing w:before="0" w:after="100"/>
        <w:ind w:left="288"/>
      </w:pPr>
      <w:r>
        <w:rPr>
          <w:rFonts w:ascii="Calibri" w:hAnsi="Calibri"/>
          <w:color w:val="333333"/>
          <w:sz w:val="21"/>
        </w:rPr>
        <w:t>–  Rename _src/pages/the-room/sections/04b-entry-offers.md to 01b-entry-offers.md so it sorts after the hero and before "What the membership is."</w:t>
      </w:r>
    </w:p>
    <w:p>
      <w:pPr>
        <w:spacing w:before="0" w:after="100"/>
        <w:ind w:left="288"/>
      </w:pPr>
      <w:r>
        <w:rPr>
          <w:rFonts w:ascii="Calibri" w:hAnsi="Calibri"/>
          <w:color w:val="333333"/>
          <w:sz w:val="21"/>
        </w:rPr>
        <w:t>–  Revise the section label from "Ways to start" to something that reads as an invitation before the full room is described. Suggested: "Start here."</w:t>
      </w:r>
    </w:p>
    <w:p>
      <w:pPr>
        <w:spacing w:before="0" w:after="100"/>
        <w:ind w:left="288"/>
      </w:pPr>
      <w:r>
        <w:rPr>
          <w:rFonts w:ascii="Calibri" w:hAnsi="Calibri"/>
          <w:color w:val="333333"/>
          <w:sz w:val="21"/>
        </w:rPr>
        <w:t>–  The page sequence becomes: Hero → Two entry-point offers → What the annual membership is → What it includes → Who belongs → CTA.</w:t>
      </w:r>
    </w:p>
    <w:p>
      <w:pPr>
        <w:spacing w:before="0" w:after="100"/>
        <w:ind w:left="288"/>
      </w:pPr>
      <w:r>
        <w:rPr>
          <w:rFonts w:ascii="Calibri" w:hAnsi="Calibri"/>
          <w:color w:val="333333"/>
          <w:sz w:val="21"/>
        </w:rPr>
        <w:t>–  Also add the annual membership price ($6,000 / founding: $5,400) to section 02-what-the-room-is.md so the full price ladder is visible in one place and the comparison is legible.</w:t>
      </w:r>
    </w:p>
    <w:p>
      <w:pPr>
        <w:spacing w:before="0" w:after="0" w:line="80" w:lineRule="exact"/>
      </w:pPr>
      <w:r>
        <w:rPr>
          <w:rFonts w:ascii="Calibri" w:hAnsi="Calibri"/>
          <w:b w:val="0"/>
          <w:i w:val="0"/>
          <w:color w:val="333333"/>
          <w:sz w:val="4"/>
        </w:rPr>
        <w:t xml:space="preserve"> </w:t>
      </w:r>
    </w:p>
    <w:p>
      <w:pPr>
        <w:spacing w:before="0" w:after="60"/>
      </w:pPr>
      <w:r>
        <w:rPr>
          <w:rFonts w:ascii="Calibri" w:hAnsi="Calibri"/>
          <w:b/>
          <w:i w:val="0"/>
          <w:color w:val="888888"/>
          <w:sz w:val="16"/>
        </w:rPr>
        <w:t>FILES</w:t>
      </w:r>
    </w:p>
    <w:p>
      <w:pPr>
        <w:spacing w:before="0" w:after="60"/>
        <w:ind w:left="288"/>
      </w:pPr>
      <w:r>
        <w:rPr>
          <w:rFonts w:ascii="Courier New" w:hAnsi="Courier New"/>
          <w:b w:val="0"/>
          <w:i w:val="0"/>
          <w:color w:val="888888"/>
          <w:sz w:val="18"/>
        </w:rPr>
        <w:t>_src/pages/the-room/sections/04b-entry-offers.md — rename to 01b-</w:t>
      </w:r>
    </w:p>
    <w:p>
      <w:pPr>
        <w:spacing w:before="0" w:after="60"/>
        <w:ind w:left="288"/>
      </w:pPr>
      <w:r>
        <w:rPr>
          <w:rFonts w:ascii="Courier New" w:hAnsi="Courier New"/>
          <w:b w:val="0"/>
          <w:i w:val="0"/>
          <w:color w:val="888888"/>
          <w:sz w:val="18"/>
        </w:rPr>
        <w:t>_src/pages/the-room/sections/02-what-the-room-is.md — add membership pricing</w:t>
      </w:r>
    </w:p>
    <w:p>
      <w:pPr>
        <w:spacing w:before="0" w:after="0" w:line="160" w:lineRule="exact"/>
      </w:pPr>
      <w:r>
        <w:rPr>
          <w:rFonts w:ascii="Calibri" w:hAnsi="Calibri"/>
          <w:b w:val="0"/>
          <w:i w:val="0"/>
          <w:color w:val="333333"/>
          <w:sz w:val="8"/>
        </w:rPr>
        <w:t xml:space="preserve"> </w:t>
      </w:r>
    </w:p>
    <w:p>
      <w:pPr>
        <w:spacing w:before="0" w:after="0"/>
        <w:pBdr>
          <w:bottom w:val="single" w:sz="4" w:space="1" w:color="DDDDDD"/>
        </w:pBdr>
      </w:pPr>
    </w:p>
    <w:p>
      <w:pPr>
        <w:spacing w:before="0" w:after="0" w:line="280" w:lineRule="exact"/>
      </w:pPr>
      <w:r>
        <w:rPr>
          <w:rFonts w:ascii="Calibri" w:hAnsi="Calibri"/>
          <w:b w:val="0"/>
          <w:i w:val="0"/>
          <w:color w:val="333333"/>
          <w:sz w:val="14"/>
        </w:rPr>
        <w:t xml:space="preserve"> </w:t>
      </w:r>
    </w:p>
    <w:p>
      <w:pPr>
        <w:spacing w:before="0" w:after="80"/>
      </w:pPr>
      <w:r>
        <w:rPr>
          <w:rFonts w:ascii="Calibri" w:hAnsi="Calibri"/>
          <w:b/>
          <w:i w:val="0"/>
          <w:color w:val="CCCCCC"/>
          <w:sz w:val="40"/>
        </w:rPr>
        <w:t xml:space="preserve">03  </w:t>
      </w:r>
      <w:r>
        <w:rPr>
          <w:rFonts w:ascii="Calibri" w:hAnsi="Calibri"/>
          <w:b/>
          <w:i w:val="0"/>
          <w:color w:val="080808"/>
          <w:sz w:val="32"/>
        </w:rPr>
        <w:t>Essays have no warm re-entry path</w:t>
      </w:r>
    </w:p>
    <w:p>
      <w:pPr>
        <w:spacing w:before="0" w:after="200"/>
      </w:pPr>
      <w:r>
        <w:rPr>
          <w:rFonts w:ascii="Calibri" w:hAnsi="Calibri"/>
          <w:b/>
          <w:i w:val="0"/>
          <w:color w:val="B82929"/>
          <w:sz w:val="18"/>
        </w:rPr>
        <w:t>Tier 1 — Fix immediately</w:t>
      </w:r>
    </w:p>
    <w:p>
      <w:pPr>
        <w:spacing w:before="0" w:after="60"/>
      </w:pPr>
      <w:r>
        <w:rPr>
          <w:rFonts w:ascii="Calibri" w:hAnsi="Calibri"/>
          <w:b/>
          <w:i w:val="0"/>
          <w:color w:val="888888"/>
          <w:sz w:val="16"/>
        </w:rPr>
        <w:t>THE PROBLEM</w:t>
      </w:r>
    </w:p>
    <w:p>
      <w:pPr>
        <w:spacing w:before="0" w:after="160"/>
      </w:pPr>
      <w:r>
        <w:rPr>
          <w:rFonts w:ascii="Calibri" w:hAnsi="Calibri"/>
          <w:b w:val="0"/>
          <w:i w:val="0"/>
          <w:color w:val="333333"/>
          <w:sz w:val="21"/>
        </w:rPr>
        <w:t>A founder reads "Is This Founder Burnout?" at 11pm, feels something, and closes the tab. The only CTA on the essay pages is Calendly. That is the right ask for the 5% who are ready. The other 95% have no lower-stakes option. There is no email capture, no link to Substack, no path back into the content. The next time this founder sees Found Room, it will probably be by accident.</w:t>
      </w:r>
    </w:p>
    <w:p>
      <w:pPr>
        <w:spacing w:before="0" w:after="60"/>
      </w:pPr>
      <w:r>
        <w:rPr>
          <w:rFonts w:ascii="Calibri" w:hAnsi="Calibri"/>
          <w:b/>
          <w:i w:val="0"/>
          <w:color w:val="888888"/>
          <w:sz w:val="16"/>
        </w:rPr>
        <w:t>WHAT IT COSTS</w:t>
      </w:r>
    </w:p>
    <w:p>
      <w:pPr>
        <w:spacing w:before="0" w:after="160"/>
      </w:pPr>
      <w:r>
        <w:rPr>
          <w:rFonts w:ascii="Calibri" w:hAnsi="Calibri"/>
          <w:b w:val="0"/>
          <w:i/>
          <w:color w:val="333333"/>
          <w:sz w:val="21"/>
        </w:rPr>
        <w:t>Every founder who reads an essay and leaves without booking is a lost lead. This is the majority of essay readers. The essays are doing the hardest work in the funnel — generating recognition in someone who did not know he had the problem — and then releasing him with no way back.</w:t>
      </w:r>
    </w:p>
    <w:p>
      <w:pPr>
        <w:spacing w:before="0" w:after="60"/>
      </w:pPr>
      <w:r>
        <w:rPr>
          <w:rFonts w:ascii="Calibri" w:hAnsi="Calibri"/>
          <w:b/>
          <w:i w:val="0"/>
          <w:color w:val="888888"/>
          <w:sz w:val="16"/>
        </w:rPr>
        <w:t>THE FIX</w:t>
      </w:r>
    </w:p>
    <w:p>
      <w:pPr>
        <w:spacing w:before="0" w:after="160"/>
      </w:pPr>
      <w:r>
        <w:rPr>
          <w:rFonts w:ascii="Calibri" w:hAnsi="Calibri"/>
          <w:b/>
          <w:i w:val="0"/>
          <w:color w:val="080808"/>
          <w:sz w:val="21"/>
        </w:rPr>
        <w:t>Add a two-part warm re-entry module to the footer of every essay: a link to The Identity Cost as the next reading, and a Substack subscribe CTA for those not ready to commit to a call.</w:t>
      </w:r>
    </w:p>
    <w:p>
      <w:pPr>
        <w:spacing w:before="0" w:after="60"/>
      </w:pPr>
      <w:r>
        <w:rPr>
          <w:rFonts w:ascii="Calibri" w:hAnsi="Calibri"/>
          <w:b/>
          <w:i w:val="0"/>
          <w:color w:val="888888"/>
          <w:sz w:val="16"/>
        </w:rPr>
        <w:t>IMPLEMENTATION</w:t>
      </w:r>
    </w:p>
    <w:p>
      <w:pPr>
        <w:spacing w:before="0" w:after="100"/>
        <w:ind w:left="288"/>
      </w:pPr>
      <w:r>
        <w:rPr>
          <w:rFonts w:ascii="Calibri" w:hAnsi="Calibri"/>
          <w:color w:val="333333"/>
          <w:sz w:val="21"/>
        </w:rPr>
        <w:t>–  Add a new section to both essay pages (03-footer-nav.md or a new 04-re-entry.md) with two elements:</w:t>
      </w:r>
    </w:p>
    <w:p>
      <w:pPr>
        <w:spacing w:before="0" w:after="60"/>
        <w:ind w:left="720"/>
      </w:pPr>
      <w:r>
        <w:rPr>
          <w:rFonts w:ascii="Calibri" w:hAnsi="Calibri"/>
          <w:b w:val="0"/>
          <w:i w:val="0"/>
          <w:color w:val="555555"/>
          <w:sz w:val="20"/>
        </w:rPr>
        <w:t>1. "Read next: The Identity Cost →" — direct link to identity-cost.html. This is the page that does the qualifying work. Get more founders there.</w:t>
      </w:r>
    </w:p>
    <w:p>
      <w:pPr>
        <w:spacing w:before="0" w:after="60"/>
        <w:ind w:left="720"/>
      </w:pPr>
      <w:r>
        <w:rPr>
          <w:rFonts w:ascii="Calibri" w:hAnsi="Calibri"/>
          <w:b w:val="0"/>
          <w:i w:val="0"/>
          <w:color w:val="555555"/>
          <w:sz w:val="20"/>
        </w:rPr>
        <w:t>2. "If this is landing, there is more. Essays go to Substack first." + Substack subscribe link or URL.</w:t>
      </w:r>
    </w:p>
    <w:p>
      <w:pPr>
        <w:spacing w:before="0" w:after="100"/>
        <w:ind w:left="288"/>
      </w:pPr>
      <w:r>
        <w:rPr>
          <w:rFonts w:ascii="Calibri" w:hAnsi="Calibri"/>
          <w:color w:val="333333"/>
          <w:sz w:val="21"/>
        </w:rPr>
        <w:t>–  The Calendly CTA stays but moves below these two. The founder chooses his readiness level: subscribe, read more, or book.</w:t>
      </w:r>
    </w:p>
    <w:p>
      <w:pPr>
        <w:spacing w:before="0" w:after="100"/>
        <w:ind w:left="288"/>
      </w:pPr>
      <w:r>
        <w:rPr>
          <w:rFonts w:ascii="Calibri" w:hAnsi="Calibri"/>
          <w:color w:val="333333"/>
          <w:sz w:val="21"/>
        </w:rPr>
        <w:t>–  Note: Need Daniel's Substack publication URL to implement the subscribe CTA.</w:t>
      </w:r>
    </w:p>
    <w:p>
      <w:pPr>
        <w:spacing w:before="0" w:after="0" w:line="80" w:lineRule="exact"/>
      </w:pPr>
      <w:r>
        <w:rPr>
          <w:rFonts w:ascii="Calibri" w:hAnsi="Calibri"/>
          <w:b w:val="0"/>
          <w:i w:val="0"/>
          <w:color w:val="333333"/>
          <w:sz w:val="4"/>
        </w:rPr>
        <w:t xml:space="preserve"> </w:t>
      </w:r>
    </w:p>
    <w:p>
      <w:pPr>
        <w:spacing w:before="0" w:after="60"/>
      </w:pPr>
      <w:r>
        <w:rPr>
          <w:rFonts w:ascii="Calibri" w:hAnsi="Calibri"/>
          <w:b/>
          <w:i w:val="0"/>
          <w:color w:val="888888"/>
          <w:sz w:val="16"/>
        </w:rPr>
        <w:t>FILES</w:t>
      </w:r>
    </w:p>
    <w:p>
      <w:pPr>
        <w:spacing w:before="0" w:after="60"/>
        <w:ind w:left="288"/>
      </w:pPr>
      <w:r>
        <w:rPr>
          <w:rFonts w:ascii="Courier New" w:hAnsi="Courier New"/>
          <w:b w:val="0"/>
          <w:i w:val="0"/>
          <w:color w:val="888888"/>
          <w:sz w:val="18"/>
        </w:rPr>
        <w:t>_src/pages/essay-what-the-business-was-doing/sections/03-footer-nav.md — rewrite with two-part CTA</w:t>
      </w:r>
    </w:p>
    <w:p>
      <w:pPr>
        <w:spacing w:before="0" w:after="60"/>
        <w:ind w:left="288"/>
      </w:pPr>
      <w:r>
        <w:rPr>
          <w:rFonts w:ascii="Courier New" w:hAnsi="Courier New"/>
          <w:b w:val="0"/>
          <w:i w:val="0"/>
          <w:color w:val="888888"/>
          <w:sz w:val="18"/>
        </w:rPr>
        <w:t>_src/pages/is-this-founder-burnout/sections/03-footer-nav.md — same</w:t>
      </w:r>
    </w:p>
    <w:p>
      <w:pPr>
        <w:spacing w:before="0" w:after="0" w:line="160" w:lineRule="exact"/>
      </w:pPr>
      <w:r>
        <w:rPr>
          <w:rFonts w:ascii="Calibri" w:hAnsi="Calibri"/>
          <w:b w:val="0"/>
          <w:i w:val="0"/>
          <w:color w:val="333333"/>
          <w:sz w:val="8"/>
        </w:rPr>
        <w:t xml:space="preserve"> </w:t>
      </w:r>
    </w:p>
    <w:p>
      <w:pPr>
        <w:spacing w:before="0" w:after="0"/>
        <w:pBdr>
          <w:bottom w:val="single" w:sz="4" w:space="1" w:color="DDDDDD"/>
        </w:pBdr>
      </w:pPr>
    </w:p>
    <w:p>
      <w:pPr>
        <w:spacing w:before="0" w:after="0" w:line="280" w:lineRule="exact"/>
      </w:pPr>
      <w:r>
        <w:rPr>
          <w:rFonts w:ascii="Calibri" w:hAnsi="Calibri"/>
          <w:b w:val="0"/>
          <w:i w:val="0"/>
          <w:color w:val="333333"/>
          <w:sz w:val="14"/>
        </w:rPr>
        <w:t xml:space="preserve"> </w:t>
      </w:r>
    </w:p>
    <w:p>
      <w:pPr>
        <w:spacing w:before="0" w:after="80"/>
      </w:pPr>
      <w:r>
        <w:rPr>
          <w:rFonts w:ascii="Calibri" w:hAnsi="Calibri"/>
          <w:b/>
          <w:i w:val="0"/>
          <w:color w:val="CCCCCC"/>
          <w:sz w:val="40"/>
        </w:rPr>
        <w:t xml:space="preserve">04  </w:t>
      </w:r>
      <w:r>
        <w:rPr>
          <w:rFonts w:ascii="Calibri" w:hAnsi="Calibri"/>
          <w:b/>
          <w:i w:val="0"/>
          <w:color w:val="080808"/>
          <w:sz w:val="32"/>
        </w:rPr>
        <w:t>Only one page does qualifying work</w:t>
      </w:r>
    </w:p>
    <w:p>
      <w:pPr>
        <w:spacing w:before="0" w:after="200"/>
      </w:pPr>
      <w:r>
        <w:rPr>
          <w:rFonts w:ascii="Calibri" w:hAnsi="Calibri"/>
          <w:b/>
          <w:i w:val="0"/>
          <w:color w:val="1A5C3A"/>
          <w:sz w:val="18"/>
        </w:rPr>
        <w:t>Tier 2 — Build next</w:t>
      </w:r>
    </w:p>
    <w:p>
      <w:pPr>
        <w:spacing w:before="0" w:after="60"/>
      </w:pPr>
      <w:r>
        <w:rPr>
          <w:rFonts w:ascii="Calibri" w:hAnsi="Calibri"/>
          <w:b/>
          <w:i w:val="0"/>
          <w:color w:val="888888"/>
          <w:sz w:val="16"/>
        </w:rPr>
        <w:t>THE PROBLEM</w:t>
      </w:r>
    </w:p>
    <w:p>
      <w:pPr>
        <w:spacing w:before="0" w:after="160"/>
      </w:pPr>
      <w:r>
        <w:rPr>
          <w:rFonts w:ascii="Calibri" w:hAnsi="Calibri"/>
          <w:b w:val="0"/>
          <w:i w:val="0"/>
          <w:color w:val="333333"/>
          <w:sz w:val="21"/>
        </w:rPr>
        <w:t>The Identity Cost is the only page on the site that actually earns the right to present The Right Room. It does the thinking, names the problem at depth, and lands on an offer with context. Every other page is either a thin description or navigation. A founder who arrives through LinkedIn, reads the Home page, and clicks to The Right Room has seen none of the reasoning that makes the offer make sense. He is being asked to spend $6,000 on a room he has not been given a reason to trust.</w:t>
      </w:r>
    </w:p>
    <w:p>
      <w:pPr>
        <w:spacing w:before="0" w:after="60"/>
      </w:pPr>
      <w:r>
        <w:rPr>
          <w:rFonts w:ascii="Calibri" w:hAnsi="Calibri"/>
          <w:b/>
          <w:i w:val="0"/>
          <w:color w:val="888888"/>
          <w:sz w:val="16"/>
        </w:rPr>
        <w:t>WHAT IT COSTS</w:t>
      </w:r>
    </w:p>
    <w:p>
      <w:pPr>
        <w:spacing w:before="0" w:after="160"/>
      </w:pPr>
      <w:r>
        <w:rPr>
          <w:rFonts w:ascii="Calibri" w:hAnsi="Calibri"/>
          <w:b w:val="0"/>
          <w:i/>
          <w:color w:val="333333"/>
          <w:sz w:val="21"/>
        </w:rPr>
        <w:t>Founders who do not come through The Identity Cost have a much lower probability of converting. Since the site currently has no way to route every visitor through that page, most visitors are skipping the one piece of content that matters most.</w:t>
      </w:r>
    </w:p>
    <w:p>
      <w:pPr>
        <w:spacing w:before="0" w:after="60"/>
      </w:pPr>
      <w:r>
        <w:rPr>
          <w:rFonts w:ascii="Calibri" w:hAnsi="Calibri"/>
          <w:b/>
          <w:i w:val="0"/>
          <w:color w:val="888888"/>
          <w:sz w:val="16"/>
        </w:rPr>
        <w:t>THE FIX</w:t>
      </w:r>
    </w:p>
    <w:p>
      <w:pPr>
        <w:spacing w:before="0" w:after="160"/>
      </w:pPr>
      <w:r>
        <w:rPr>
          <w:rFonts w:ascii="Calibri" w:hAnsi="Calibri"/>
          <w:b/>
          <w:i w:val="0"/>
          <w:color w:val="080808"/>
          <w:sz w:val="21"/>
        </w:rPr>
        <w:t>Make The Identity Cost more prominent as the entry point, and build one additional depth page that qualifies from a different angle.</w:t>
      </w:r>
    </w:p>
    <w:p>
      <w:pPr>
        <w:spacing w:before="0" w:after="60"/>
      </w:pPr>
      <w:r>
        <w:rPr>
          <w:rFonts w:ascii="Calibri" w:hAnsi="Calibri"/>
          <w:b/>
          <w:i w:val="0"/>
          <w:color w:val="888888"/>
          <w:sz w:val="16"/>
        </w:rPr>
        <w:t>IMPLEMENTATION</w:t>
      </w:r>
    </w:p>
    <w:p>
      <w:pPr>
        <w:spacing w:before="0" w:after="100"/>
        <w:ind w:left="288"/>
      </w:pPr>
      <w:r>
        <w:rPr>
          <w:rFonts w:ascii="Calibri" w:hAnsi="Calibri"/>
          <w:color w:val="333333"/>
          <w:sz w:val="21"/>
        </w:rPr>
        <w:t>–  Add The Identity Cost to the primary nav (currently it is in the nav but not visually weighted as the starting point). Consider a site-wide "Start here" link or a Home page section that routes the reader explicitly.</w:t>
      </w:r>
    </w:p>
    <w:p>
      <w:pPr>
        <w:spacing w:before="0" w:after="100"/>
        <w:ind w:left="288"/>
      </w:pPr>
      <w:r>
        <w:rPr>
          <w:rFonts w:ascii="Calibri" w:hAnsi="Calibri"/>
          <w:color w:val="333333"/>
          <w:sz w:val="21"/>
        </w:rPr>
        <w:t>–  Home page: add a section after the hero that names the two types of founders who land here and routes each to The Identity Cost or The Right Room depending on readiness.</w:t>
      </w:r>
    </w:p>
    <w:p>
      <w:pPr>
        <w:spacing w:before="0" w:after="100"/>
        <w:ind w:left="288"/>
      </w:pPr>
      <w:r>
        <w:rPr>
          <w:rFonts w:ascii="Calibri" w:hAnsi="Calibri"/>
          <w:color w:val="333333"/>
          <w:sz w:val="21"/>
        </w:rPr>
        <w:t>–  Write a second long-form essay at the depth of The Identity Cost, targeting a different entry point for the ICP. Suggested title angle: "What happens to founders who keep going after the company stops needing them." This catches the operating founder who is not yet post-exit but is starting to feel the drift.</w:t>
      </w:r>
    </w:p>
    <w:p>
      <w:pPr>
        <w:spacing w:before="0" w:after="100"/>
        <w:ind w:left="288"/>
      </w:pPr>
      <w:r>
        <w:rPr>
          <w:rFonts w:ascii="Calibri" w:hAnsi="Calibri"/>
          <w:color w:val="333333"/>
          <w:sz w:val="21"/>
        </w:rPr>
        <w:t>–  The goal is two qualifying pages instead of one, so the funnel has redundancy.</w:t>
      </w:r>
    </w:p>
    <w:p>
      <w:pPr>
        <w:spacing w:before="0" w:after="0" w:line="80" w:lineRule="exact"/>
      </w:pPr>
      <w:r>
        <w:rPr>
          <w:rFonts w:ascii="Calibri" w:hAnsi="Calibri"/>
          <w:b w:val="0"/>
          <w:i w:val="0"/>
          <w:color w:val="333333"/>
          <w:sz w:val="4"/>
        </w:rPr>
        <w:t xml:space="preserve"> </w:t>
      </w:r>
    </w:p>
    <w:p>
      <w:pPr>
        <w:spacing w:before="0" w:after="60"/>
      </w:pPr>
      <w:r>
        <w:rPr>
          <w:rFonts w:ascii="Calibri" w:hAnsi="Calibri"/>
          <w:b/>
          <w:i w:val="0"/>
          <w:color w:val="888888"/>
          <w:sz w:val="16"/>
        </w:rPr>
        <w:t>FILES</w:t>
      </w:r>
    </w:p>
    <w:p>
      <w:pPr>
        <w:spacing w:before="0" w:after="60"/>
        <w:ind w:left="288"/>
      </w:pPr>
      <w:r>
        <w:rPr>
          <w:rFonts w:ascii="Courier New" w:hAnsi="Courier New"/>
          <w:b w:val="0"/>
          <w:i w:val="0"/>
          <w:color w:val="888888"/>
          <w:sz w:val="18"/>
        </w:rPr>
        <w:t>_src/pages/index/sections/ — add routing section</w:t>
      </w:r>
    </w:p>
    <w:p>
      <w:pPr>
        <w:spacing w:before="0" w:after="60"/>
        <w:ind w:left="288"/>
      </w:pPr>
      <w:r>
        <w:rPr>
          <w:rFonts w:ascii="Courier New" w:hAnsi="Courier New"/>
          <w:b w:val="0"/>
          <w:i w:val="0"/>
          <w:color w:val="888888"/>
          <w:sz w:val="18"/>
        </w:rPr>
        <w:t>_src/partials/header.html — consider visual weighting of Identity Cost link</w:t>
      </w:r>
    </w:p>
    <w:p>
      <w:pPr>
        <w:spacing w:before="0" w:after="60"/>
        <w:ind w:left="288"/>
      </w:pPr>
      <w:r>
        <w:rPr>
          <w:rFonts w:ascii="Courier New" w:hAnsi="Courier New"/>
          <w:b w:val="0"/>
          <w:i w:val="0"/>
          <w:color w:val="888888"/>
          <w:sz w:val="18"/>
        </w:rPr>
        <w:t>New essay page (TBD slug) — second long-form qualifying piece</w:t>
      </w:r>
    </w:p>
    <w:p>
      <w:pPr>
        <w:spacing w:before="0" w:after="0" w:line="160" w:lineRule="exact"/>
      </w:pPr>
      <w:r>
        <w:rPr>
          <w:rFonts w:ascii="Calibri" w:hAnsi="Calibri"/>
          <w:b w:val="0"/>
          <w:i w:val="0"/>
          <w:color w:val="333333"/>
          <w:sz w:val="8"/>
        </w:rPr>
        <w:t xml:space="preserve"> </w:t>
      </w:r>
    </w:p>
    <w:p>
      <w:pPr>
        <w:spacing w:before="0" w:after="0"/>
        <w:pBdr>
          <w:bottom w:val="single" w:sz="4" w:space="1" w:color="DDDDDD"/>
        </w:pBdr>
      </w:pPr>
    </w:p>
    <w:p>
      <w:pPr>
        <w:spacing w:before="0" w:after="0" w:line="280" w:lineRule="exact"/>
      </w:pPr>
      <w:r>
        <w:rPr>
          <w:rFonts w:ascii="Calibri" w:hAnsi="Calibri"/>
          <w:b w:val="0"/>
          <w:i w:val="0"/>
          <w:color w:val="333333"/>
          <w:sz w:val="14"/>
        </w:rPr>
        <w:t xml:space="preserve"> </w:t>
      </w:r>
    </w:p>
    <w:p>
      <w:pPr>
        <w:spacing w:before="0" w:after="80"/>
      </w:pPr>
      <w:r>
        <w:rPr>
          <w:rFonts w:ascii="Calibri" w:hAnsi="Calibri"/>
          <w:b/>
          <w:i w:val="0"/>
          <w:color w:val="CCCCCC"/>
          <w:sz w:val="40"/>
        </w:rPr>
        <w:t xml:space="preserve">05  </w:t>
      </w:r>
      <w:r>
        <w:rPr>
          <w:rFonts w:ascii="Calibri" w:hAnsi="Calibri"/>
          <w:b/>
          <w:i w:val="0"/>
          <w:color w:val="080808"/>
          <w:sz w:val="32"/>
        </w:rPr>
        <w:t>SEO targets the already-converted founder</w:t>
      </w:r>
    </w:p>
    <w:p>
      <w:pPr>
        <w:spacing w:before="0" w:after="200"/>
      </w:pPr>
      <w:r>
        <w:rPr>
          <w:rFonts w:ascii="Calibri" w:hAnsi="Calibri"/>
          <w:b/>
          <w:i w:val="0"/>
          <w:color w:val="1A5C3A"/>
          <w:sz w:val="18"/>
        </w:rPr>
        <w:t>Tier 2 — Build next</w:t>
      </w:r>
    </w:p>
    <w:p>
      <w:pPr>
        <w:spacing w:before="0" w:after="60"/>
      </w:pPr>
      <w:r>
        <w:rPr>
          <w:rFonts w:ascii="Calibri" w:hAnsi="Calibri"/>
          <w:b/>
          <w:i w:val="0"/>
          <w:color w:val="888888"/>
          <w:sz w:val="16"/>
        </w:rPr>
        <w:t>THE PROBLEM</w:t>
      </w:r>
    </w:p>
    <w:p>
      <w:pPr>
        <w:spacing w:before="0" w:after="160"/>
      </w:pPr>
      <w:r>
        <w:rPr>
          <w:rFonts w:ascii="Calibri" w:hAnsi="Calibri"/>
          <w:b w:val="0"/>
          <w:i w:val="0"/>
          <w:color w:val="333333"/>
          <w:sz w:val="21"/>
        </w:rPr>
        <w:t>The current essays are titled and written for a founder who already has language for the problem. "Is This Founder Burnout?" assumes he knows he has a problem and is trying to name it. "What the Business Was Doing" assumes he can already see the mechanism. The ICP who finds Found Room through search is more likely to be searching from a practical frustration: a decision he cannot make, a feeling he cannot explain, a question about whether to sell or stay or step back. He does not search "founder identity." He searches what is happening to him right now.</w:t>
      </w:r>
    </w:p>
    <w:p>
      <w:pPr>
        <w:spacing w:before="0" w:after="60"/>
      </w:pPr>
      <w:r>
        <w:rPr>
          <w:rFonts w:ascii="Calibri" w:hAnsi="Calibri"/>
          <w:b/>
          <w:i w:val="0"/>
          <w:color w:val="888888"/>
          <w:sz w:val="16"/>
        </w:rPr>
        <w:t>WHAT IT COSTS</w:t>
      </w:r>
    </w:p>
    <w:p>
      <w:pPr>
        <w:spacing w:before="0" w:after="160"/>
      </w:pPr>
      <w:r>
        <w:rPr>
          <w:rFonts w:ascii="Calibri" w:hAnsi="Calibri"/>
          <w:b w:val="0"/>
          <w:i/>
          <w:color w:val="333333"/>
          <w:sz w:val="21"/>
        </w:rPr>
        <w:t>The essays that exist are good for readers who are already warm. They are poor entry points for cold search traffic because the search terms do not match the queries the ICP actually types. Google search data from the current two indexed pages will confirm this over time.</w:t>
      </w:r>
    </w:p>
    <w:p>
      <w:pPr>
        <w:spacing w:before="0" w:after="60"/>
      </w:pPr>
      <w:r>
        <w:rPr>
          <w:rFonts w:ascii="Calibri" w:hAnsi="Calibri"/>
          <w:b/>
          <w:i w:val="0"/>
          <w:color w:val="888888"/>
          <w:sz w:val="16"/>
        </w:rPr>
        <w:t>THE FIX</w:t>
      </w:r>
    </w:p>
    <w:p>
      <w:pPr>
        <w:spacing w:before="0" w:after="160"/>
      </w:pPr>
      <w:r>
        <w:rPr>
          <w:rFonts w:ascii="Calibri" w:hAnsi="Calibri"/>
          <w:b/>
          <w:i w:val="0"/>
          <w:color w:val="080808"/>
          <w:sz w:val="21"/>
        </w:rPr>
        <w:t>Write essays that meet the ICP at his actual search queries, then walk him into the deeper territory.</w:t>
      </w:r>
    </w:p>
    <w:p>
      <w:pPr>
        <w:spacing w:before="0" w:after="60"/>
      </w:pPr>
      <w:r>
        <w:rPr>
          <w:rFonts w:ascii="Calibri" w:hAnsi="Calibri"/>
          <w:b/>
          <w:i w:val="0"/>
          <w:color w:val="888888"/>
          <w:sz w:val="16"/>
        </w:rPr>
        <w:t>IMPLEMENTATION</w:t>
      </w:r>
    </w:p>
    <w:p>
      <w:pPr>
        <w:spacing w:before="0" w:after="100"/>
        <w:ind w:left="288"/>
      </w:pPr>
      <w:r>
        <w:rPr>
          <w:rFonts w:ascii="Calibri" w:hAnsi="Calibri"/>
          <w:color w:val="333333"/>
          <w:sz w:val="21"/>
        </w:rPr>
        <w:t>–  Priority search intents to target (ranked by ICP match):</w:t>
      </w:r>
    </w:p>
    <w:p>
      <w:pPr>
        <w:spacing w:before="0" w:after="60"/>
        <w:ind w:left="720"/>
      </w:pPr>
      <w:r>
        <w:rPr>
          <w:rFonts w:ascii="Calibri" w:hAnsi="Calibri"/>
          <w:b w:val="0"/>
          <w:i w:val="0"/>
          <w:color w:val="555555"/>
          <w:sz w:val="20"/>
        </w:rPr>
        <w:t>• "Should I sell my company" — high intent, active decision</w:t>
      </w:r>
    </w:p>
    <w:p>
      <w:pPr>
        <w:spacing w:before="0" w:after="60"/>
        <w:ind w:left="720"/>
      </w:pPr>
      <w:r>
        <w:rPr>
          <w:rFonts w:ascii="Calibri" w:hAnsi="Calibri"/>
          <w:b w:val="0"/>
          <w:i w:val="0"/>
          <w:color w:val="555555"/>
          <w:sz w:val="20"/>
        </w:rPr>
        <w:t>• "Stepping back from CEO role" / "when to step back as founder CEO" — transition moment</w:t>
      </w:r>
    </w:p>
    <w:p>
      <w:pPr>
        <w:spacing w:before="0" w:after="60"/>
        <w:ind w:left="720"/>
      </w:pPr>
      <w:r>
        <w:rPr>
          <w:rFonts w:ascii="Calibri" w:hAnsi="Calibri"/>
          <w:b w:val="0"/>
          <w:i w:val="0"/>
          <w:color w:val="555555"/>
          <w:sz w:val="20"/>
        </w:rPr>
        <w:t>• "Why am I bored after my startup succeeded" — post-traction drift</w:t>
      </w:r>
    </w:p>
    <w:p>
      <w:pPr>
        <w:spacing w:before="0" w:after="60"/>
        <w:ind w:left="720"/>
      </w:pPr>
      <w:r>
        <w:rPr>
          <w:rFonts w:ascii="Calibri" w:hAnsi="Calibri"/>
          <w:b w:val="0"/>
          <w:i w:val="0"/>
          <w:color w:val="555555"/>
          <w:sz w:val="20"/>
        </w:rPr>
        <w:t>• "What to do after exit founder" — post-exit disorientation</w:t>
      </w:r>
    </w:p>
    <w:p>
      <w:pPr>
        <w:spacing w:before="0" w:after="60"/>
        <w:ind w:left="720"/>
      </w:pPr>
      <w:r>
        <w:rPr>
          <w:rFonts w:ascii="Calibri" w:hAnsi="Calibri"/>
          <w:b w:val="0"/>
          <w:i w:val="0"/>
          <w:color w:val="555555"/>
          <w:sz w:val="20"/>
        </w:rPr>
        <w:t>• "Founder burnout or boredom" — already searching this but article title could be stronger</w:t>
      </w:r>
    </w:p>
    <w:p>
      <w:pPr>
        <w:spacing w:before="0" w:after="100"/>
        <w:ind w:left="288"/>
      </w:pPr>
      <w:r>
        <w:rPr>
          <w:rFonts w:ascii="Calibri" w:hAnsi="Calibri"/>
          <w:color w:val="333333"/>
          <w:sz w:val="21"/>
        </w:rPr>
        <w:t>–  Each essay: open at the search intent (the practical question), then pull the thread into the identity/meaning territory that Daniel actually writes about. The transition from practical question to deeper frame is where Found Room earns the reader.</w:t>
      </w:r>
    </w:p>
    <w:p>
      <w:pPr>
        <w:spacing w:before="0" w:after="100"/>
        <w:ind w:left="288"/>
      </w:pPr>
      <w:r>
        <w:rPr>
          <w:rFonts w:ascii="Calibri" w:hAnsi="Calibri"/>
          <w:color w:val="333333"/>
          <w:sz w:val="21"/>
        </w:rPr>
        <w:t>–  Start with one essay per quarter. The goal is five to seven total essays in the corpus before the end of year one.</w:t>
      </w:r>
    </w:p>
    <w:p>
      <w:pPr>
        <w:spacing w:before="0" w:after="0" w:line="80" w:lineRule="exact"/>
      </w:pPr>
      <w:r>
        <w:rPr>
          <w:rFonts w:ascii="Calibri" w:hAnsi="Calibri"/>
          <w:b w:val="0"/>
          <w:i w:val="0"/>
          <w:color w:val="333333"/>
          <w:sz w:val="4"/>
        </w:rPr>
        <w:t xml:space="preserve"> </w:t>
      </w:r>
    </w:p>
    <w:p>
      <w:pPr>
        <w:spacing w:before="0" w:after="60"/>
      </w:pPr>
      <w:r>
        <w:rPr>
          <w:rFonts w:ascii="Calibri" w:hAnsi="Calibri"/>
          <w:b/>
          <w:i w:val="0"/>
          <w:color w:val="888888"/>
          <w:sz w:val="16"/>
        </w:rPr>
        <w:t>FILES</w:t>
      </w:r>
    </w:p>
    <w:p>
      <w:pPr>
        <w:spacing w:before="0" w:after="60"/>
        <w:ind w:left="288"/>
      </w:pPr>
      <w:r>
        <w:rPr>
          <w:rFonts w:ascii="Courier New" w:hAnsi="Courier New"/>
          <w:b w:val="0"/>
          <w:i w:val="0"/>
          <w:color w:val="888888"/>
          <w:sz w:val="18"/>
        </w:rPr>
        <w:t>New essay pages in _src/pages/ — one per quarter</w:t>
      </w:r>
    </w:p>
    <w:p>
      <w:pPr>
        <w:spacing w:before="0" w:after="60"/>
        <w:ind w:left="288"/>
      </w:pPr>
      <w:r>
        <w:rPr>
          <w:rFonts w:ascii="Courier New" w:hAnsi="Courier New"/>
          <w:b w:val="0"/>
          <w:i w:val="0"/>
          <w:color w:val="888888"/>
          <w:sz w:val="18"/>
        </w:rPr>
        <w:t>_src/pages/journal/sections/ — update essay index as pieces publish</w:t>
      </w:r>
    </w:p>
    <w:p>
      <w:pPr>
        <w:spacing w:before="0" w:after="0" w:line="160" w:lineRule="exact"/>
      </w:pPr>
      <w:r>
        <w:rPr>
          <w:rFonts w:ascii="Calibri" w:hAnsi="Calibri"/>
          <w:b w:val="0"/>
          <w:i w:val="0"/>
          <w:color w:val="333333"/>
          <w:sz w:val="8"/>
        </w:rPr>
        <w:t xml:space="preserve"> </w:t>
      </w:r>
    </w:p>
    <w:p>
      <w:pPr>
        <w:spacing w:before="0" w:after="0"/>
        <w:pBdr>
          <w:bottom w:val="single" w:sz="4" w:space="1" w:color="DDDDDD"/>
        </w:pBdr>
      </w:pPr>
    </w:p>
    <w:p>
      <w:pPr>
        <w:spacing w:before="0" w:after="0" w:line="280" w:lineRule="exact"/>
      </w:pPr>
      <w:r>
        <w:rPr>
          <w:rFonts w:ascii="Calibri" w:hAnsi="Calibri"/>
          <w:b w:val="0"/>
          <w:i w:val="0"/>
          <w:color w:val="333333"/>
          <w:sz w:val="14"/>
        </w:rPr>
        <w:t xml:space="preserve"> </w:t>
      </w:r>
    </w:p>
    <w:p>
      <w:pPr>
        <w:spacing w:before="0" w:after="160"/>
      </w:pPr>
      <w:r>
        <w:rPr>
          <w:rFonts w:ascii="Calibri" w:hAnsi="Calibri"/>
          <w:b/>
          <w:i w:val="0"/>
          <w:color w:val="080808"/>
          <w:sz w:val="26"/>
        </w:rPr>
        <w:t>Sequenced Implementation</w:t>
      </w:r>
    </w:p>
    <w:p>
      <w:pPr>
        <w:spacing w:before="0" w:after="240"/>
      </w:pPr>
      <w:r>
        <w:rPr>
          <w:rFonts w:ascii="Calibri" w:hAnsi="Calibri"/>
          <w:b w:val="0"/>
          <w:i/>
          <w:color w:val="555555"/>
          <w:sz w:val="22"/>
        </w:rPr>
        <w:t>These changes compound. Do them in this order.</w:t>
      </w:r>
    </w:p>
    <w:p>
      <w:pPr>
        <w:spacing w:before="0" w:after="40"/>
      </w:pPr>
      <w:r>
        <w:rPr>
          <w:rFonts w:ascii="Calibri" w:hAnsi="Calibri"/>
          <w:b/>
          <w:i w:val="0"/>
          <w:color w:val="080808"/>
          <w:sz w:val="22"/>
        </w:rPr>
        <w:t xml:space="preserve">Step 1  </w:t>
      </w:r>
      <w:r>
        <w:rPr>
          <w:rFonts w:ascii="Calibri" w:hAnsi="Calibri"/>
          <w:b w:val="0"/>
          <w:i w:val="0"/>
          <w:color w:val="1A5C3A"/>
          <w:sz w:val="18"/>
        </w:rPr>
        <w:t>This session</w:t>
      </w:r>
    </w:p>
    <w:p>
      <w:pPr>
        <w:spacing w:before="0" w:after="200"/>
        <w:ind w:left="288"/>
      </w:pPr>
      <w:r>
        <w:rPr>
          <w:rFonts w:ascii="Calibri" w:hAnsi="Calibri"/>
          <w:b w:val="0"/>
          <w:i w:val="0"/>
          <w:color w:val="333333"/>
          <w:sz w:val="21"/>
        </w:rPr>
        <w:t>Reorder The Right Room page (Issue 02). Rename 04b-entry-offers.md to 01b-. Add membership pricing to section 02. Five minutes of work, immediate improvement to the page.</w:t>
      </w:r>
    </w:p>
    <w:p>
      <w:pPr>
        <w:spacing w:before="0" w:after="40"/>
      </w:pPr>
      <w:r>
        <w:rPr>
          <w:rFonts w:ascii="Calibri" w:hAnsi="Calibri"/>
          <w:b/>
          <w:i w:val="0"/>
          <w:color w:val="080808"/>
          <w:sz w:val="22"/>
        </w:rPr>
        <w:t xml:space="preserve">Step 2  </w:t>
      </w:r>
      <w:r>
        <w:rPr>
          <w:rFonts w:ascii="Calibri" w:hAnsi="Calibri"/>
          <w:b w:val="0"/>
          <w:i w:val="0"/>
          <w:color w:val="1A5C3A"/>
          <w:sz w:val="18"/>
        </w:rPr>
        <w:t>This session</w:t>
      </w:r>
    </w:p>
    <w:p>
      <w:pPr>
        <w:spacing w:before="0" w:after="200"/>
        <w:ind w:left="288"/>
      </w:pPr>
      <w:r>
        <w:rPr>
          <w:rFonts w:ascii="Calibri" w:hAnsi="Calibri"/>
          <w:b w:val="0"/>
          <w:i w:val="0"/>
          <w:color w:val="333333"/>
          <w:sz w:val="21"/>
        </w:rPr>
        <w:t>Update the nav CTA label from "Let's Talk" to "Book a Conversation" (Issue 01). One line in header.html.</w:t>
      </w:r>
    </w:p>
    <w:p>
      <w:pPr>
        <w:spacing w:before="0" w:after="40"/>
      </w:pPr>
      <w:r>
        <w:rPr>
          <w:rFonts w:ascii="Calibri" w:hAnsi="Calibri"/>
          <w:b/>
          <w:i w:val="0"/>
          <w:color w:val="080808"/>
          <w:sz w:val="22"/>
        </w:rPr>
        <w:t xml:space="preserve">Step 3  </w:t>
      </w:r>
      <w:r>
        <w:rPr>
          <w:rFonts w:ascii="Calibri" w:hAnsi="Calibri"/>
          <w:b w:val="0"/>
          <w:i w:val="0"/>
          <w:color w:val="1A5C3A"/>
          <w:sz w:val="18"/>
        </w:rPr>
        <w:t>This session</w:t>
      </w:r>
    </w:p>
    <w:p>
      <w:pPr>
        <w:spacing w:before="0" w:after="200"/>
        <w:ind w:left="288"/>
      </w:pPr>
      <w:r>
        <w:rPr>
          <w:rFonts w:ascii="Calibri" w:hAnsi="Calibri"/>
          <w:b w:val="0"/>
          <w:i w:val="0"/>
          <w:color w:val="333333"/>
          <w:sz w:val="21"/>
        </w:rPr>
        <w:t>Add framing to the About page before the Calendly CTA (Issue 01). Two to three sentences.</w:t>
      </w:r>
    </w:p>
    <w:p>
      <w:pPr>
        <w:spacing w:before="0" w:after="40"/>
      </w:pPr>
      <w:r>
        <w:rPr>
          <w:rFonts w:ascii="Calibri" w:hAnsi="Calibri"/>
          <w:b/>
          <w:i w:val="0"/>
          <w:color w:val="080808"/>
          <w:sz w:val="22"/>
        </w:rPr>
        <w:t xml:space="preserve">Step 4  </w:t>
      </w:r>
      <w:r>
        <w:rPr>
          <w:rFonts w:ascii="Calibri" w:hAnsi="Calibri"/>
          <w:b w:val="0"/>
          <w:i w:val="0"/>
          <w:color w:val="1A5C3A"/>
          <w:sz w:val="18"/>
        </w:rPr>
        <w:t>Next session</w:t>
      </w:r>
    </w:p>
    <w:p>
      <w:pPr>
        <w:spacing w:before="0" w:after="200"/>
        <w:ind w:left="288"/>
      </w:pPr>
      <w:r>
        <w:rPr>
          <w:rFonts w:ascii="Calibri" w:hAnsi="Calibri"/>
          <w:b w:val="0"/>
          <w:i w:val="0"/>
          <w:color w:val="333333"/>
          <w:sz w:val="21"/>
        </w:rPr>
        <w:t>Rewrite essay footer sections with two-part warm re-entry (Issue 03). Requires Daniel's Substack URL. One new section per essay page.</w:t>
      </w:r>
    </w:p>
    <w:p>
      <w:pPr>
        <w:spacing w:before="0" w:after="40"/>
      </w:pPr>
      <w:r>
        <w:rPr>
          <w:rFonts w:ascii="Calibri" w:hAnsi="Calibri"/>
          <w:b/>
          <w:i w:val="0"/>
          <w:color w:val="080808"/>
          <w:sz w:val="22"/>
        </w:rPr>
        <w:t xml:space="preserve">Step 5  </w:t>
      </w:r>
      <w:r>
        <w:rPr>
          <w:rFonts w:ascii="Calibri" w:hAnsi="Calibri"/>
          <w:b w:val="0"/>
          <w:i w:val="0"/>
          <w:color w:val="1A5C3A"/>
          <w:sz w:val="18"/>
        </w:rPr>
        <w:t>Next two weeks</w:t>
      </w:r>
    </w:p>
    <w:p>
      <w:pPr>
        <w:spacing w:before="0" w:after="200"/>
        <w:ind w:left="288"/>
      </w:pPr>
      <w:r>
        <w:rPr>
          <w:rFonts w:ascii="Calibri" w:hAnsi="Calibri"/>
          <w:b w:val="0"/>
          <w:i w:val="0"/>
          <w:color w:val="333333"/>
          <w:sz w:val="21"/>
        </w:rPr>
        <w:t>Add Identity Cost routing section to the Home page (Issue 04). One new section in index/sections/ that names the two types of visitor and routes each.</w:t>
      </w:r>
    </w:p>
    <w:p>
      <w:pPr>
        <w:spacing w:before="0" w:after="40"/>
      </w:pPr>
      <w:r>
        <w:rPr>
          <w:rFonts w:ascii="Calibri" w:hAnsi="Calibri"/>
          <w:b/>
          <w:i w:val="0"/>
          <w:color w:val="080808"/>
          <w:sz w:val="22"/>
        </w:rPr>
        <w:t xml:space="preserve">Step 6  </w:t>
      </w:r>
      <w:r>
        <w:rPr>
          <w:rFonts w:ascii="Calibri" w:hAnsi="Calibri"/>
          <w:b w:val="0"/>
          <w:i w:val="0"/>
          <w:color w:val="1A5C3A"/>
          <w:sz w:val="18"/>
        </w:rPr>
        <w:t>Next 30 days</w:t>
      </w:r>
    </w:p>
    <w:p>
      <w:pPr>
        <w:spacing w:before="0" w:after="200"/>
        <w:ind w:left="288"/>
      </w:pPr>
      <w:r>
        <w:rPr>
          <w:rFonts w:ascii="Calibri" w:hAnsi="Calibri"/>
          <w:b w:val="0"/>
          <w:i w:val="0"/>
          <w:color w:val="333333"/>
          <w:sz w:val="21"/>
        </w:rPr>
        <w:t>Write one new SEO-targeted essay at the depth of The Identity Cost (Issue 05). Start with the "should I sell" or "stepping back from CEO" angle. These take time to rank but are the highest-leverage long-term investment in the funnel.</w:t>
      </w:r>
    </w:p>
    <w:p>
      <w:pPr>
        <w:spacing w:before="0" w:after="40"/>
      </w:pPr>
      <w:r>
        <w:rPr>
          <w:rFonts w:ascii="Calibri" w:hAnsi="Calibri"/>
          <w:b/>
          <w:i w:val="0"/>
          <w:color w:val="080808"/>
          <w:sz w:val="22"/>
        </w:rPr>
        <w:t xml:space="preserve">Step 7  </w:t>
      </w:r>
      <w:r>
        <w:rPr>
          <w:rFonts w:ascii="Calibri" w:hAnsi="Calibri"/>
          <w:b w:val="0"/>
          <w:i w:val="0"/>
          <w:color w:val="1A5C3A"/>
          <w:sz w:val="18"/>
        </w:rPr>
        <w:t>Ongoing</w:t>
      </w:r>
    </w:p>
    <w:p>
      <w:pPr>
        <w:spacing w:before="0" w:after="200"/>
        <w:ind w:left="288"/>
      </w:pPr>
      <w:r>
        <w:rPr>
          <w:rFonts w:ascii="Calibri" w:hAnsi="Calibri"/>
          <w:b w:val="0"/>
          <w:i w:val="0"/>
          <w:color w:val="333333"/>
          <w:sz w:val="21"/>
        </w:rPr>
        <w:t>One new qualifying essay per quarter until the corpus reaches seven or eight pieces. Each one should be capable of standing alone as the first thing a founder reads about Found Room.</w:t>
      </w:r>
    </w:p>
    <w:p>
      <w:pPr>
        <w:spacing w:before="0" w:after="0" w:line="160" w:lineRule="exact"/>
      </w:pPr>
      <w:r>
        <w:rPr>
          <w:rFonts w:ascii="Calibri" w:hAnsi="Calibri"/>
          <w:b w:val="0"/>
          <w:i w:val="0"/>
          <w:color w:val="333333"/>
          <w:sz w:val="8"/>
        </w:rPr>
        <w:t xml:space="preserve"> </w:t>
      </w:r>
    </w:p>
    <w:p>
      <w:pPr>
        <w:spacing w:before="0" w:after="0"/>
        <w:pBdr>
          <w:bottom w:val="single" w:sz="8" w:space="1" w:color="111111"/>
        </w:pBdr>
      </w:pPr>
    </w:p>
    <w:p>
      <w:pPr>
        <w:spacing w:before="0" w:after="0" w:line="200" w:lineRule="exact"/>
      </w:pPr>
      <w:r>
        <w:rPr>
          <w:rFonts w:ascii="Calibri" w:hAnsi="Calibri"/>
          <w:b w:val="0"/>
          <w:i w:val="0"/>
          <w:color w:val="333333"/>
          <w:sz w:val="10"/>
        </w:rPr>
        <w:t xml:space="preserve"> </w:t>
      </w:r>
    </w:p>
    <w:p>
      <w:pPr>
        <w:spacing w:before="0" w:after="80"/>
      </w:pPr>
      <w:r>
        <w:rPr>
          <w:rFonts w:ascii="Calibri" w:hAnsi="Calibri"/>
          <w:b w:val="0"/>
          <w:i/>
          <w:color w:val="555555"/>
          <w:sz w:val="20"/>
        </w:rPr>
        <w:t>The single most important thing this plan does is give the 95% of essay readers who are not ready to book somewhere to go. Right now they leave. After these changes, they subscribe, they read more, they come back. The conversion happens on visit three or four, not visit one.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