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3.7 Innbyggerdialog</w:t>
      </w:r>
    </w:p>
    <w:p>
      <w:pPr>
        <w:pStyle w:val="Normal"/>
      </w:pPr>
      <w:r>
        <w:t xml:space="preserve">Digital innbyggerdialog er tilgjengelig i fagløsningen, og er en smidig, rask og sikker kommunikasjon mellom saksbehandler i barnevernet og barnets familierelasjoner. </w:t>
      </w:r>
      <w:r>
        <w:rPr/>
        <w:t xml:space="preserve">Digital innbyggerdialog er tilgjengelig i fagløsningen, og er en smidig, rask og sikker kommunikasjon mellom saksbehandler i barnevernet og barnets familierelasjoner.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Mottakere blir varslet og svarer fra digital postkasse (eks Digipost, Altinn). Svar på dialogen vil bli presentert som sammenhengende tråd i barnets mappe. Når avklaringene er gjort og dokumentet er utformet med hensyn til tilbakemeldinger fra de involverte, kan dokumentet sendes til e-Signering fra fagløsningen. </w:t>
      </w:r>
      <w:r>
        <w:rPr/>
        <w:t xml:space="preserve">Mottakere blir varslet og svarer fra digital postkasse (eks Digipost, Altinn). Svar på dialogen vil bli presentert som sammenhengende tråd i barnets mappe. Når avklaringene er gjort og dokumentet er utformet med hensyn til tilbakemeldinger fra de involverte, kan dokumentet sendes til e-Signering fra fagløsningen.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