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4.1 Brukermedvirkning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Visma har utviklet en arbeidsflyt der barnevernets samhandling med involverte i saken står sentralt. Her er noen eksempler: </w:t>
      </w:r>
      <w:r>
        <w:rPr/>
        <w:t xml:space="preserve">Visma har utviklet en arbeidsflyt der barnevernets samhandling med involverte i saken står sentralt. Her er noen eksempler: </w:t>
      </w:r>
    </w:p>
    <w:p>
      <w:pPr>
        <w:pStyle w:val="Normal"/>
      </w:pPr>
      <w:r>
        <w:t xml:space="preserve">samhandling internt i organisasjonen: </w:t>
      </w:r>
      <w:r>
        <w:rPr/>
        <w:t xml:space="preserve">samhandling internt i organisasjonen: </w:t>
      </w:r>
    </w:p>
    <w:p>
      <w:pPr>
        <w:pStyle w:val="Normal"/>
      </w:pPr>
      <w:r>
        <w:t>deling av dokumenter,</w:t>
      </w:r>
      <w:r>
        <w:rPr/>
        <w:t>deling av dokumenter,</w:t>
      </w:r>
    </w:p>
    <w:p>
      <w:pPr>
        <w:pStyle w:val="Normal"/>
      </w:pPr>
      <w:r>
        <w:t>flere ansatte som bidrar i samme sak/dokument</w:t>
      </w:r>
      <w:r>
        <w:rPr/>
        <w:t>flere ansatte som bidrar i samme sak/dokument</w:t>
      </w:r>
    </w:p>
    <w:p>
      <w:pPr>
        <w:pStyle w:val="Normal"/>
      </w:pPr>
      <w:r>
        <w:t>leder har mulighet til å gi støtte til saksbehandler i forkant av godkjenningen, gi tilbakemeldinger og avklaringer underveis</w:t>
      </w:r>
      <w:r>
        <w:rPr/>
        <w:t>leder har mulighet til å gi støtte til saksbehandler i forkant av godkjenningen, gi tilbakemeldinger og avklaringer underveis</w:t>
      </w:r>
    </w:p>
    <w:p>
      <w:pPr>
        <w:pStyle w:val="Normal"/>
      </w:pPr>
      <w:r>
        <w:t xml:space="preserve">heldigital godkjenningsprosess med mulighet for sløyfe/ ha flere godkjennere i </w:t>
      </w:r>
      <w:r>
        <w:rPr/>
        <w:t xml:space="preserve">heldigital godkjenningsprosess med mulighet for sløyfe/ ha flere godkjennere i </w:t>
      </w:r>
    </w:p>
    <w:p>
      <w:pPr>
        <w:pStyle w:val="Normal"/>
      </w:pPr>
      <w:r>
        <w:t>egendefinert rekkefølge</w:t>
      </w:r>
      <w:r>
        <w:rPr/>
        <w:t>egendefinert rekkefølge</w:t>
      </w:r>
    </w:p>
    <w:p>
      <w:pPr>
        <w:pStyle w:val="Normal"/>
      </w:pPr>
      <w:r/>
      <w:r>
        <w:rPr/>
      </w:r>
    </w:p>
    <w:p>
      <w:pPr>
        <w:pStyle w:val="Normal"/>
      </w:pPr>
      <w:r>
        <w:t>samhandling eksternt med innbyggere og samarbeidsinstanser</w:t>
      </w:r>
      <w:r>
        <w:rPr/>
        <w:t>samhandling eksternt med innbyggere og samarbeidsinstanser</w:t>
      </w:r>
    </w:p>
    <w:p>
      <w:pPr>
        <w:pStyle w:val="Normal"/>
      </w:pPr>
      <w:r>
        <w:t>gjennom innbyggerdialog med barnet og barnets familie</w:t>
      </w:r>
      <w:r>
        <w:rPr/>
        <w:t>gjennom innbyggerdialog med barnet og barnets familie</w:t>
      </w:r>
    </w:p>
    <w:p>
      <w:pPr>
        <w:pStyle w:val="Normal"/>
      </w:pPr>
      <w:r>
        <w:t>gjennom eSignering av dokumenter som krever det - fra barnets familie eller fra eksterne fagpersoner som er involvert i saken</w:t>
      </w:r>
      <w:r>
        <w:rPr/>
        <w:t>gjennom eSignering av dokumenter som krever det - fra barnets familie eller fra eksterne fagpersoner som er involvert i saken</w:t>
      </w:r>
    </w:p>
    <w:p>
      <w:pPr>
        <w:pStyle w:val="Normal"/>
      </w:pPr>
      <w:r>
        <w:t xml:space="preserve">øker medvirkning fra involverte i saken tidlig i saksbehandlingsprosessen </w:t>
      </w:r>
      <w:r>
        <w:rPr/>
        <w:t xml:space="preserve">øker medvirkning fra involverte i saken tidlig i saksbehandlingsprosessen </w:t>
      </w:r>
    </w:p>
    <w:p>
      <w:pPr>
        <w:pStyle w:val="Normal"/>
      </w:pPr>
      <w:r>
        <w:t>KS Min Kommune</w:t>
      </w:r>
      <w:r>
        <w:rPr/>
        <w:t>KS Min Kommune</w:t>
      </w:r>
    </w:p>
    <w:p>
      <w:pPr>
        <w:pStyle w:val="Normal"/>
      </w:pPr>
      <w:r/>
      <w:r>
        <w:rPr/>
      </w:r>
    </w:p>
    <w:p>
      <w:pPr>
        <w:pStyle w:val="Heading3"/>
      </w:pPr>
      <w:r>
        <w:t>4.1.1 Inne i løsningen</w:t>
      </w:r>
      <w:r>
        <w:rPr/>
        <w:t>4.1.1 Inne i løsningen</w:t>
      </w:r>
    </w:p>
    <w:p>
      <w:pPr>
        <w:pStyle w:val="Normal"/>
      </w:pPr>
      <w:r>
        <w:t xml:space="preserve">Visma Flyt Barnevern har egne avhukingsbokser på utvalgte hendelser som evalueringer, vedtak m.f. for å sikre at barnet er hørt. Dersom barnet ikke er hørt, må det skrives en begrunnelse for hvor det ikke er gjennomført. </w:t>
      </w:r>
      <w:r>
        <w:rPr/>
        <w:t xml:space="preserve">Visma Flyt Barnevern har egne avhukingsbokser på utvalgte hendelser som evalueringer, vedtak m.f. for å sikre at barnet er hørt. Dersom barnet ikke er hørt, må det skrives en begrunnelse for hvor det ikke er gjennomført. </w:t>
      </w:r>
    </w:p>
    <w:p>
      <w:pPr>
        <w:pStyle w:val="Normal"/>
      </w:pPr>
      <w:r/>
      <w:r>
        <w:rPr/>
      </w:r>
    </w:p>
    <w:p>
      <w:pPr>
        <w:pStyle w:val="Heading3"/>
      </w:pPr>
      <w:r>
        <w:t>4.1.2 KS MinKommune -innbyggertjenester</w:t>
      </w:r>
      <w:r>
        <w:rPr/>
        <w:t>4.1.2 KS MinKommune -innbyggertjenester</w:t>
      </w:r>
    </w:p>
    <w:p>
      <w:pPr>
        <w:pStyle w:val="Normal"/>
      </w:pPr>
      <w:r>
        <w:t xml:space="preserve">KS har ansvaret for å utarbeide funksjonene i KS MinKommune. Prosjektet er basert på at kommunen benytter KS MinKommune og tjenestene vil leveres med utgangspunkt i denne. </w:t>
      </w:r>
      <w:r>
        <w:rPr/>
        <w:t xml:space="preserve">KS har ansvaret for å utarbeide funksjonene i KS MinKommune. Prosjektet er basert på at kommunen benytter KS MinKommune og tjenestene vil leveres med utgangspunkt i denne. </w:t>
      </w:r>
    </w:p>
    <w:p>
      <w:pPr>
        <w:pStyle w:val="Normal"/>
      </w:pPr>
      <w:r/>
      <w:r>
        <w:rPr/>
      </w:r>
    </w:p>
    <w:p>
      <w:pPr>
        <w:pStyle w:val="Normal"/>
      </w:pPr>
      <w:r>
        <w:t>Dette innebærer bla:</w:t>
      </w:r>
      <w:r>
        <w:rPr/>
        <w:t>Dette innebærer bla:</w:t>
      </w:r>
    </w:p>
    <w:p>
      <w:pPr>
        <w:pStyle w:val="Normal"/>
      </w:pPr>
      <w:r>
        <w:t xml:space="preserve">Innsynsordning </w:t>
      </w:r>
      <w:r>
        <w:rPr/>
        <w:t xml:space="preserve">Innsynsordning </w:t>
      </w:r>
    </w:p>
    <w:p>
      <w:pPr>
        <w:pStyle w:val="Normal"/>
      </w:pPr>
      <w:r>
        <w:t xml:space="preserve">Oversikt over dokumenter og avtaler </w:t>
      </w:r>
      <w:r>
        <w:rPr/>
        <w:t xml:space="preserve">Oversikt over dokumenter og avtaler </w:t>
      </w:r>
    </w:p>
    <w:p>
      <w:pPr>
        <w:pStyle w:val="Normal"/>
      </w:pPr>
      <w:r>
        <w:t xml:space="preserve">Oversikt over samtykker med mulighet for å trekke de tilbake </w:t>
      </w:r>
      <w:r>
        <w:rPr/>
        <w:t xml:space="preserve">Oversikt over samtykker med mulighet for å trekke de tilbake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Det er utviklet en chat fra KS hvor det er mulig å laste chatmeldingene inn i Flyt Barnevern for dokumentering. </w:t>
      </w:r>
      <w:r>
        <w:rPr/>
        <w:t xml:space="preserve">Det er utviklet en chat fra KS hvor det er mulig å laste chatmeldingene inn i Flyt Barnevern for dokumentering. </w:t>
      </w:r>
    </w:p>
    <w:p>
      <w:pPr>
        <w:pStyle w:val="Heading3"/>
      </w:pPr>
      <w:r>
        <w:t>4.1.3 E-signering</w:t>
      </w:r>
      <w:r>
        <w:rPr/>
        <w:t>4.1.3 E-signering</w:t>
      </w:r>
    </w:p>
    <w:p>
      <w:pPr>
        <w:pStyle w:val="Normal"/>
      </w:pPr>
      <w:r>
        <w:t xml:space="preserve">Korrespondansen blir sendt til godkjenning gjennom en signeringstjeneste fra DigDir, og selve signeringen gjøres i en signeringsportal, og ikke ved at dokumentet kommer inn i godkjenners Altinn innboks. Her støttes det multi signering (signatur fra flere) og signering av vedlegg. </w:t>
      </w:r>
      <w:r>
        <w:rPr/>
        <w:t xml:space="preserve">Korrespondansen blir sendt til godkjenning gjennom en signeringstjeneste fra DigDir, og selve signeringen gjøres i en signeringsportal, og ikke ved at dokumentet kommer inn i godkjenners Altinn innboks. Her støttes det multi signering (signatur fra flere) og signering av vedlegg.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