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5.1 Varslinger</w:t>
      </w:r>
    </w:p>
    <w:p>
      <w:pPr>
        <w:pStyle w:val="Normal"/>
      </w:pPr>
      <w:r>
        <w:t xml:space="preserve">Visma Flyt Barnevern har varslinger i henhold til  Lov om Barneverntjenester og rapporteringspunkter. Varslene vil være synlig på den enkelte saksbehandlers oppgavelinje som kan sees uansett hvor man er i løsningen. </w:t>
      </w:r>
      <w:r>
        <w:rPr/>
        <w:t xml:space="preserve">Visma Flyt Barnevern har varslinger i henhold til  Lov om Barneverntjenester og rapporteringspunkter. Varslene vil være synlig på den enkelte saksbehandlers oppgavelinje som kan sees uansett hvor man er i løsningen.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Bilde: Eksempel på varsling av frister.</w:t>
      </w:r>
      <w:r>
        <w:rPr/>
        <w:t>Bilde: Eksempel på varsling av frister.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Ved å trykke på de ulike varslene vil saksbehandler tas direkte til der aktiviteten må håndteres. </w:t>
      </w:r>
      <w:r>
        <w:rPr/>
        <w:t xml:space="preserve">Ved å trykke på de ulike varslene vil saksbehandler tas direkte til der aktiviteten må håndteres.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